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407F" w:rsidRDefault="00FC407F">
      <w:pPr>
        <w:pStyle w:val="Heading1"/>
        <w:jc w:val="left"/>
      </w:pPr>
      <w:r>
        <w:t>VICTORIAN CIVIL AND ADMINISTRATIVE TRIBUNAL</w:t>
      </w:r>
    </w:p>
    <w:p w:rsidR="00FC407F" w:rsidRDefault="00FC407F">
      <w:pPr>
        <w:pStyle w:val="Heading1"/>
        <w:jc w:val="left"/>
      </w:pPr>
      <w:bookmarkStart w:id="0" w:name="Division"/>
      <w:bookmarkEnd w:id="0"/>
      <w:r>
        <w:t>administrative DIVISION</w:t>
      </w:r>
    </w:p>
    <w:tbl>
      <w:tblPr>
        <w:tblW w:w="8928" w:type="dxa"/>
        <w:tblLayout w:type="fixed"/>
        <w:tblLook w:val="0000"/>
      </w:tblPr>
      <w:tblGrid>
        <w:gridCol w:w="4608"/>
        <w:gridCol w:w="4320"/>
      </w:tblGrid>
      <w:tr w:rsidR="00FC407F">
        <w:tblPrEx>
          <w:tblCellMar>
            <w:top w:w="0" w:type="dxa"/>
            <w:bottom w:w="0" w:type="dxa"/>
          </w:tblCellMar>
        </w:tblPrEx>
        <w:trPr>
          <w:cantSplit/>
        </w:trPr>
        <w:tc>
          <w:tcPr>
            <w:tcW w:w="4608" w:type="dxa"/>
          </w:tcPr>
          <w:p w:rsidR="00FC407F" w:rsidRDefault="00FC407F">
            <w:pPr>
              <w:pStyle w:val="Heading1"/>
              <w:jc w:val="left"/>
            </w:pPr>
            <w:bookmarkStart w:id="1" w:name="SubDivision"/>
            <w:bookmarkEnd w:id="1"/>
            <w:r>
              <w:t>planning and environment LIST</w:t>
            </w:r>
          </w:p>
        </w:tc>
        <w:tc>
          <w:tcPr>
            <w:tcW w:w="4320" w:type="dxa"/>
          </w:tcPr>
          <w:p w:rsidR="00FC407F" w:rsidRDefault="00FC407F">
            <w:pPr>
              <w:pStyle w:val="TitlePage3"/>
            </w:pPr>
            <w:r>
              <w:t xml:space="preserve">vcat reference No. </w:t>
            </w:r>
            <w:r w:rsidR="006E0C63">
              <w:t>P1451/2015</w:t>
            </w:r>
          </w:p>
          <w:p w:rsidR="00FC407F" w:rsidRDefault="00FC407F">
            <w:pPr>
              <w:pStyle w:val="TitlePage3"/>
            </w:pPr>
            <w:r>
              <w:t xml:space="preserve">Permit Application no. </w:t>
            </w:r>
            <w:r w:rsidR="006E0C63">
              <w:t>GE/PP-28020/2015</w:t>
            </w:r>
          </w:p>
        </w:tc>
        <w:bookmarkStart w:id="2" w:name="FileNo1"/>
        <w:bookmarkEnd w:id="2"/>
      </w:tr>
    </w:tbl>
    <w:p w:rsidR="00FC407F" w:rsidRDefault="00FC407F">
      <w:pPr>
        <w:jc w:val="center"/>
      </w:pPr>
    </w:p>
    <w:tbl>
      <w:tblPr>
        <w:tblW w:w="8926" w:type="dxa"/>
        <w:jc w:val="center"/>
        <w:tblLayout w:type="fixed"/>
        <w:tblLook w:val="0000"/>
      </w:tblPr>
      <w:tblGrid>
        <w:gridCol w:w="8926"/>
      </w:tblGrid>
      <w:tr w:rsidR="00FC407F">
        <w:tblPrEx>
          <w:tblCellMar>
            <w:top w:w="0" w:type="dxa"/>
            <w:bottom w:w="0" w:type="dxa"/>
          </w:tblCellMar>
        </w:tblPrEx>
        <w:trPr>
          <w:cantSplit/>
          <w:jc w:val="center"/>
        </w:trPr>
        <w:tc>
          <w:tcPr>
            <w:tcW w:w="8926" w:type="dxa"/>
          </w:tcPr>
          <w:p w:rsidR="00FC407F" w:rsidRPr="001803C0" w:rsidRDefault="00FC407F">
            <w:pPr>
              <w:pStyle w:val="Heading2"/>
              <w:jc w:val="center"/>
              <w:rPr>
                <w:bCs w:val="0"/>
              </w:rPr>
            </w:pPr>
            <w:bookmarkStart w:id="3" w:name="Catchwords"/>
            <w:bookmarkEnd w:id="3"/>
            <w:r w:rsidRPr="001803C0">
              <w:rPr>
                <w:bCs w:val="0"/>
              </w:rPr>
              <w:t>CATCHWORDS</w:t>
            </w:r>
          </w:p>
        </w:tc>
      </w:tr>
      <w:tr w:rsidR="00FC407F">
        <w:tblPrEx>
          <w:tblCellMar>
            <w:top w:w="0" w:type="dxa"/>
            <w:bottom w:w="0" w:type="dxa"/>
          </w:tblCellMar>
        </w:tblPrEx>
        <w:trPr>
          <w:cantSplit/>
          <w:jc w:val="center"/>
        </w:trPr>
        <w:tc>
          <w:tcPr>
            <w:tcW w:w="8926" w:type="dxa"/>
          </w:tcPr>
          <w:p w:rsidR="00FC407F" w:rsidRPr="00C15038" w:rsidRDefault="00B9239B" w:rsidP="006E0C63">
            <w:pPr>
              <w:pStyle w:val="Catchwords"/>
              <w:jc w:val="center"/>
              <w:rPr>
                <w:sz w:val="16"/>
                <w:szCs w:val="16"/>
              </w:rPr>
            </w:pPr>
            <w:r w:rsidRPr="00C15038">
              <w:rPr>
                <w:sz w:val="16"/>
                <w:szCs w:val="16"/>
              </w:rPr>
              <w:t xml:space="preserve">Section </w:t>
            </w:r>
            <w:r w:rsidR="006E0C63" w:rsidRPr="00C15038">
              <w:rPr>
                <w:sz w:val="16"/>
                <w:szCs w:val="16"/>
              </w:rPr>
              <w:t>77</w:t>
            </w:r>
            <w:r w:rsidRPr="00C15038">
              <w:rPr>
                <w:sz w:val="16"/>
                <w:szCs w:val="16"/>
              </w:rPr>
              <w:t xml:space="preserve"> of the </w:t>
            </w:r>
            <w:r w:rsidRPr="00C15038">
              <w:rPr>
                <w:i/>
                <w:sz w:val="16"/>
                <w:szCs w:val="16"/>
              </w:rPr>
              <w:t>Planning &amp; Environment Act</w:t>
            </w:r>
            <w:r w:rsidRPr="00C15038">
              <w:rPr>
                <w:sz w:val="16"/>
                <w:szCs w:val="16"/>
              </w:rPr>
              <w:t xml:space="preserve"> 1987; </w:t>
            </w:r>
            <w:r w:rsidR="006E0C63" w:rsidRPr="00C15038">
              <w:rPr>
                <w:sz w:val="16"/>
                <w:szCs w:val="16"/>
              </w:rPr>
              <w:t xml:space="preserve">Glen </w:t>
            </w:r>
            <w:proofErr w:type="spellStart"/>
            <w:r w:rsidR="006E0C63" w:rsidRPr="00C15038">
              <w:rPr>
                <w:sz w:val="16"/>
                <w:szCs w:val="16"/>
              </w:rPr>
              <w:t>Eira</w:t>
            </w:r>
            <w:proofErr w:type="spellEnd"/>
            <w:r w:rsidRPr="00C15038">
              <w:rPr>
                <w:sz w:val="16"/>
                <w:szCs w:val="16"/>
              </w:rPr>
              <w:t xml:space="preserve"> Planning Scheme; </w:t>
            </w:r>
            <w:r w:rsidR="00C15038" w:rsidRPr="00C15038">
              <w:rPr>
                <w:sz w:val="16"/>
                <w:szCs w:val="16"/>
              </w:rPr>
              <w:t>character outcomes in a Housing Diversity Area; relevance of community expectations compared to the intent of the policy framework in a planning scheme.</w:t>
            </w:r>
          </w:p>
        </w:tc>
      </w:tr>
    </w:tbl>
    <w:p w:rsidR="00FC407F" w:rsidRDefault="00FC407F"/>
    <w:p w:rsidR="00FC407F" w:rsidRDefault="00FC407F"/>
    <w:tbl>
      <w:tblPr>
        <w:tblW w:w="8928" w:type="dxa"/>
        <w:tblLayout w:type="fixed"/>
        <w:tblLook w:val="0000"/>
      </w:tblPr>
      <w:tblGrid>
        <w:gridCol w:w="3528"/>
        <w:gridCol w:w="5400"/>
      </w:tblGrid>
      <w:tr w:rsidR="00FC407F">
        <w:tblPrEx>
          <w:tblCellMar>
            <w:top w:w="0" w:type="dxa"/>
            <w:bottom w:w="0" w:type="dxa"/>
          </w:tblCellMar>
        </w:tblPrEx>
        <w:tc>
          <w:tcPr>
            <w:tcW w:w="3528" w:type="dxa"/>
          </w:tcPr>
          <w:p w:rsidR="00FC407F" w:rsidRDefault="00FC407F">
            <w:pPr>
              <w:pStyle w:val="TitlePage2"/>
            </w:pPr>
            <w:r>
              <w:t>APPLICANT</w:t>
            </w:r>
          </w:p>
        </w:tc>
        <w:tc>
          <w:tcPr>
            <w:tcW w:w="5400" w:type="dxa"/>
          </w:tcPr>
          <w:p w:rsidR="00FC407F" w:rsidRDefault="006E0C63" w:rsidP="00033C8A">
            <w:pPr>
              <w:pStyle w:val="TitlePagetext"/>
            </w:pPr>
            <w:bookmarkStart w:id="4" w:name="Applicant"/>
            <w:bookmarkEnd w:id="4"/>
            <w:proofErr w:type="spellStart"/>
            <w:r>
              <w:t>Stell</w:t>
            </w:r>
            <w:r w:rsidR="00033C8A">
              <w:t>e</w:t>
            </w:r>
            <w:r>
              <w:t>r</w:t>
            </w:r>
            <w:proofErr w:type="spellEnd"/>
            <w:r>
              <w:t xml:space="preserve"> Elite Pty Ltd</w:t>
            </w:r>
          </w:p>
        </w:tc>
      </w:tr>
      <w:tr w:rsidR="00FC407F">
        <w:tblPrEx>
          <w:tblCellMar>
            <w:top w:w="0" w:type="dxa"/>
            <w:bottom w:w="0" w:type="dxa"/>
          </w:tblCellMar>
        </w:tblPrEx>
        <w:tc>
          <w:tcPr>
            <w:tcW w:w="3528" w:type="dxa"/>
          </w:tcPr>
          <w:p w:rsidR="00FC407F" w:rsidRDefault="00FC407F">
            <w:pPr>
              <w:pStyle w:val="TitlePage2"/>
            </w:pPr>
            <w:r>
              <w:t>RESPONSIBLE AUTHORITY</w:t>
            </w:r>
          </w:p>
        </w:tc>
        <w:tc>
          <w:tcPr>
            <w:tcW w:w="5400" w:type="dxa"/>
          </w:tcPr>
          <w:p w:rsidR="00FC407F" w:rsidRDefault="006E0C63">
            <w:pPr>
              <w:pStyle w:val="TitlePagetext"/>
            </w:pPr>
            <w:r>
              <w:t xml:space="preserve">Glen </w:t>
            </w:r>
            <w:proofErr w:type="spellStart"/>
            <w:r>
              <w:t>Eira</w:t>
            </w:r>
            <w:proofErr w:type="spellEnd"/>
            <w:r>
              <w:t xml:space="preserve"> City Council</w:t>
            </w:r>
          </w:p>
        </w:tc>
      </w:tr>
      <w:tr w:rsidR="00FC407F">
        <w:tblPrEx>
          <w:tblCellMar>
            <w:top w:w="0" w:type="dxa"/>
            <w:bottom w:w="0" w:type="dxa"/>
          </w:tblCellMar>
        </w:tblPrEx>
        <w:tc>
          <w:tcPr>
            <w:tcW w:w="3528" w:type="dxa"/>
          </w:tcPr>
          <w:p w:rsidR="00FC407F" w:rsidRDefault="00FC407F">
            <w:pPr>
              <w:pStyle w:val="TitlePage2"/>
            </w:pPr>
            <w:r>
              <w:t>RESPONDENT</w:t>
            </w:r>
            <w:r w:rsidR="006E0C63">
              <w:t>s</w:t>
            </w:r>
          </w:p>
        </w:tc>
        <w:tc>
          <w:tcPr>
            <w:tcW w:w="5400" w:type="dxa"/>
          </w:tcPr>
          <w:p w:rsidR="00FC407F" w:rsidRDefault="006E0C63" w:rsidP="006E0C63">
            <w:pPr>
              <w:pStyle w:val="TitlePagetext"/>
            </w:pPr>
            <w:r>
              <w:t xml:space="preserve">T Healey, S </w:t>
            </w:r>
            <w:proofErr w:type="spellStart"/>
            <w:r>
              <w:t>Toth</w:t>
            </w:r>
            <w:proofErr w:type="spellEnd"/>
            <w:r>
              <w:t xml:space="preserve">, J &amp; M </w:t>
            </w:r>
            <w:proofErr w:type="spellStart"/>
            <w:r>
              <w:t>Menko</w:t>
            </w:r>
            <w:proofErr w:type="spellEnd"/>
            <w:r>
              <w:t xml:space="preserve">, T </w:t>
            </w:r>
            <w:proofErr w:type="spellStart"/>
            <w:r>
              <w:t>Boccari</w:t>
            </w:r>
            <w:proofErr w:type="spellEnd"/>
            <w:r>
              <w:t xml:space="preserve">, M </w:t>
            </w:r>
            <w:proofErr w:type="spellStart"/>
            <w:r>
              <w:t>Perruzza</w:t>
            </w:r>
            <w:proofErr w:type="spellEnd"/>
            <w:r>
              <w:t xml:space="preserve">, E </w:t>
            </w:r>
            <w:proofErr w:type="spellStart"/>
            <w:r>
              <w:t>Knappert</w:t>
            </w:r>
            <w:proofErr w:type="spellEnd"/>
            <w:r>
              <w:t xml:space="preserve"> &amp; M Dow.</w:t>
            </w:r>
          </w:p>
        </w:tc>
      </w:tr>
      <w:tr w:rsidR="00FC407F">
        <w:tblPrEx>
          <w:tblCellMar>
            <w:top w:w="0" w:type="dxa"/>
            <w:bottom w:w="0" w:type="dxa"/>
          </w:tblCellMar>
        </w:tblPrEx>
        <w:tc>
          <w:tcPr>
            <w:tcW w:w="3528" w:type="dxa"/>
          </w:tcPr>
          <w:p w:rsidR="00FC407F" w:rsidRDefault="00FC407F">
            <w:pPr>
              <w:pStyle w:val="TitlePage2"/>
            </w:pPr>
            <w:smartTag w:uri="urn:schemas-microsoft-com:office:smarttags" w:element="place">
              <w:smartTag w:uri="urn:schemas-microsoft-com:office:smarttags" w:element="PlaceName">
                <w:r>
                  <w:t>SUBJECT</w:t>
                </w:r>
              </w:smartTag>
              <w:r>
                <w:t xml:space="preserve"> </w:t>
              </w:r>
              <w:smartTag w:uri="urn:schemas-microsoft-com:office:smarttags" w:element="PlaceType">
                <w:r>
                  <w:t>LAND</w:t>
                </w:r>
              </w:smartTag>
            </w:smartTag>
          </w:p>
        </w:tc>
        <w:tc>
          <w:tcPr>
            <w:tcW w:w="5400" w:type="dxa"/>
          </w:tcPr>
          <w:p w:rsidR="00FC407F" w:rsidRDefault="006E0C63">
            <w:pPr>
              <w:pStyle w:val="TitlePagetext"/>
            </w:pPr>
            <w:r>
              <w:t>6-10 Claire Street, McKinnon</w:t>
            </w:r>
          </w:p>
        </w:tc>
      </w:tr>
      <w:tr w:rsidR="00FC407F">
        <w:tblPrEx>
          <w:tblCellMar>
            <w:top w:w="0" w:type="dxa"/>
            <w:bottom w:w="0" w:type="dxa"/>
          </w:tblCellMar>
        </w:tblPrEx>
        <w:tc>
          <w:tcPr>
            <w:tcW w:w="3528" w:type="dxa"/>
          </w:tcPr>
          <w:p w:rsidR="00FC407F" w:rsidRDefault="00FC407F">
            <w:pPr>
              <w:pStyle w:val="TitlePage2"/>
            </w:pPr>
            <w:r>
              <w:t>WHERE HELD</w:t>
            </w:r>
          </w:p>
        </w:tc>
        <w:tc>
          <w:tcPr>
            <w:tcW w:w="5400" w:type="dxa"/>
          </w:tcPr>
          <w:p w:rsidR="00FC407F" w:rsidRDefault="00FC407F">
            <w:pPr>
              <w:pStyle w:val="TitlePagetext"/>
            </w:pPr>
            <w:bookmarkStart w:id="5" w:name="subjectland"/>
            <w:bookmarkEnd w:id="5"/>
            <w:smartTag w:uri="urn:schemas-microsoft-com:office:smarttags" w:element="place">
              <w:smartTag w:uri="urn:schemas-microsoft-com:office:smarttags" w:element="address">
                <w:r>
                  <w:t>Melbourne</w:t>
                </w:r>
              </w:smartTag>
            </w:smartTag>
          </w:p>
        </w:tc>
      </w:tr>
      <w:tr w:rsidR="00FC407F">
        <w:tblPrEx>
          <w:tblCellMar>
            <w:top w:w="0" w:type="dxa"/>
            <w:bottom w:w="0" w:type="dxa"/>
          </w:tblCellMar>
        </w:tblPrEx>
        <w:tc>
          <w:tcPr>
            <w:tcW w:w="3528" w:type="dxa"/>
          </w:tcPr>
          <w:p w:rsidR="00FC407F" w:rsidRDefault="00FC407F">
            <w:pPr>
              <w:pStyle w:val="TitlePage2"/>
            </w:pPr>
            <w:r>
              <w:t>BEFORE</w:t>
            </w:r>
          </w:p>
        </w:tc>
        <w:tc>
          <w:tcPr>
            <w:tcW w:w="5400" w:type="dxa"/>
          </w:tcPr>
          <w:p w:rsidR="00FC407F" w:rsidRDefault="0068356F">
            <w:pPr>
              <w:pStyle w:val="TitlePagetext"/>
            </w:pPr>
            <w:bookmarkStart w:id="6" w:name="Location"/>
            <w:bookmarkEnd w:id="6"/>
            <w:r>
              <w:t>Michael Deidun, Member</w:t>
            </w:r>
          </w:p>
        </w:tc>
      </w:tr>
      <w:tr w:rsidR="00FC407F">
        <w:tblPrEx>
          <w:tblCellMar>
            <w:top w:w="0" w:type="dxa"/>
            <w:bottom w:w="0" w:type="dxa"/>
          </w:tblCellMar>
        </w:tblPrEx>
        <w:tc>
          <w:tcPr>
            <w:tcW w:w="3528" w:type="dxa"/>
          </w:tcPr>
          <w:p w:rsidR="00FC407F" w:rsidRDefault="00FC407F">
            <w:pPr>
              <w:pStyle w:val="TitlePage2"/>
            </w:pPr>
            <w:r>
              <w:t>HEARING TYPE</w:t>
            </w:r>
          </w:p>
        </w:tc>
        <w:tc>
          <w:tcPr>
            <w:tcW w:w="5400" w:type="dxa"/>
          </w:tcPr>
          <w:p w:rsidR="00FC407F" w:rsidRDefault="002C6AB4">
            <w:pPr>
              <w:pStyle w:val="TitlePagetext"/>
            </w:pPr>
            <w:bookmarkStart w:id="7" w:name="Before"/>
            <w:bookmarkEnd w:id="7"/>
            <w:r>
              <w:t xml:space="preserve">Major Case </w:t>
            </w:r>
            <w:r w:rsidR="00FC407F">
              <w:t>Hearing</w:t>
            </w:r>
          </w:p>
        </w:tc>
      </w:tr>
      <w:tr w:rsidR="00FC407F">
        <w:tblPrEx>
          <w:tblCellMar>
            <w:top w:w="0" w:type="dxa"/>
            <w:bottom w:w="0" w:type="dxa"/>
          </w:tblCellMar>
        </w:tblPrEx>
        <w:tc>
          <w:tcPr>
            <w:tcW w:w="3528" w:type="dxa"/>
          </w:tcPr>
          <w:p w:rsidR="00FC407F" w:rsidRDefault="00FC407F">
            <w:pPr>
              <w:pStyle w:val="TitlePage2"/>
            </w:pPr>
            <w:r>
              <w:t>DATE OF HEARING</w:t>
            </w:r>
          </w:p>
        </w:tc>
        <w:tc>
          <w:tcPr>
            <w:tcW w:w="5400" w:type="dxa"/>
          </w:tcPr>
          <w:p w:rsidR="00FC407F" w:rsidRDefault="006E0C63">
            <w:pPr>
              <w:pStyle w:val="TitlePagetext"/>
            </w:pPr>
            <w:bookmarkStart w:id="8" w:name="HearingType"/>
            <w:bookmarkEnd w:id="8"/>
            <w:r>
              <w:t>22 &amp; 23 October, 2015</w:t>
            </w:r>
          </w:p>
        </w:tc>
      </w:tr>
      <w:tr w:rsidR="00FC407F">
        <w:tblPrEx>
          <w:tblCellMar>
            <w:top w:w="0" w:type="dxa"/>
            <w:bottom w:w="0" w:type="dxa"/>
          </w:tblCellMar>
        </w:tblPrEx>
        <w:tc>
          <w:tcPr>
            <w:tcW w:w="3528" w:type="dxa"/>
          </w:tcPr>
          <w:p w:rsidR="00FC407F" w:rsidRDefault="00FC407F">
            <w:pPr>
              <w:pStyle w:val="TitlePage2"/>
            </w:pPr>
            <w:r>
              <w:t>DATE OF ORDER</w:t>
            </w:r>
          </w:p>
        </w:tc>
        <w:tc>
          <w:tcPr>
            <w:tcW w:w="5400" w:type="dxa"/>
          </w:tcPr>
          <w:p w:rsidR="00FC407F" w:rsidRDefault="00E52A8E">
            <w:pPr>
              <w:pStyle w:val="TitlePagetext"/>
            </w:pPr>
            <w:bookmarkStart w:id="9" w:name="HearingDate"/>
            <w:bookmarkEnd w:id="9"/>
            <w:r>
              <w:t>11 November, 2015</w:t>
            </w:r>
          </w:p>
        </w:tc>
      </w:tr>
      <w:tr w:rsidR="00FC407F">
        <w:tblPrEx>
          <w:tblCellMar>
            <w:top w:w="0" w:type="dxa"/>
            <w:bottom w:w="0" w:type="dxa"/>
          </w:tblCellMar>
        </w:tblPrEx>
        <w:tc>
          <w:tcPr>
            <w:tcW w:w="3528" w:type="dxa"/>
          </w:tcPr>
          <w:p w:rsidR="00FC407F" w:rsidRDefault="00FC407F">
            <w:pPr>
              <w:pStyle w:val="TitlePage2"/>
            </w:pPr>
            <w:r>
              <w:t>CITATION</w:t>
            </w:r>
          </w:p>
        </w:tc>
        <w:tc>
          <w:tcPr>
            <w:tcW w:w="5400" w:type="dxa"/>
          </w:tcPr>
          <w:p w:rsidR="00FC407F" w:rsidRDefault="00FC407F">
            <w:pPr>
              <w:pStyle w:val="TitlePagetext"/>
            </w:pPr>
            <w:bookmarkStart w:id="10" w:name="DateOrder"/>
            <w:bookmarkEnd w:id="10"/>
          </w:p>
        </w:tc>
      </w:tr>
    </w:tbl>
    <w:p w:rsidR="00FC407F" w:rsidRDefault="00FC407F"/>
    <w:p w:rsidR="00FC407F" w:rsidRDefault="00FC407F">
      <w:pPr>
        <w:pStyle w:val="Heading1"/>
        <w:ind w:right="-131"/>
      </w:pPr>
      <w:r>
        <w:t>Order</w:t>
      </w:r>
    </w:p>
    <w:p w:rsidR="006F5D83" w:rsidRDefault="006F5D83" w:rsidP="006E0C63">
      <w:pPr>
        <w:pStyle w:val="Para1"/>
      </w:pPr>
      <w:r>
        <w:rPr>
          <w:lang w:val="en-GB"/>
        </w:rPr>
        <w:t xml:space="preserve">Pursuant to section 127 and clause 64 of Schedule 1 of the </w:t>
      </w:r>
      <w:r>
        <w:rPr>
          <w:i/>
          <w:lang w:val="en-GB"/>
        </w:rPr>
        <w:t xml:space="preserve">Victorian Civil &amp; Administrative Tribunal Act </w:t>
      </w:r>
      <w:r>
        <w:t>1998, the permit application is amended by substituting for the permit application plans, the following plans filed with the Tribunal:</w:t>
      </w:r>
    </w:p>
    <w:tbl>
      <w:tblPr>
        <w:tblW w:w="0" w:type="auto"/>
        <w:tblLook w:val="01E0"/>
      </w:tblPr>
      <w:tblGrid>
        <w:gridCol w:w="3528"/>
        <w:gridCol w:w="5193"/>
      </w:tblGrid>
      <w:tr w:rsidR="006F5D83" w:rsidTr="00B64A5B">
        <w:tc>
          <w:tcPr>
            <w:tcW w:w="3528" w:type="dxa"/>
            <w:shd w:val="clear" w:color="auto" w:fill="auto"/>
          </w:tcPr>
          <w:p w:rsidR="006F5D83" w:rsidRDefault="006F5D83" w:rsidP="00B64A5B">
            <w:pPr>
              <w:pStyle w:val="Para5"/>
            </w:pPr>
            <w:r>
              <w:t>Prepared by:</w:t>
            </w:r>
          </w:p>
        </w:tc>
        <w:tc>
          <w:tcPr>
            <w:tcW w:w="5193" w:type="dxa"/>
            <w:shd w:val="clear" w:color="auto" w:fill="auto"/>
          </w:tcPr>
          <w:p w:rsidR="006F5D83" w:rsidRDefault="006E0C63" w:rsidP="00B64A5B">
            <w:pPr>
              <w:pStyle w:val="Para2"/>
              <w:ind w:left="0"/>
            </w:pPr>
            <w:r>
              <w:t>Peter Brown Architects</w:t>
            </w:r>
          </w:p>
        </w:tc>
      </w:tr>
      <w:tr w:rsidR="006F5D83" w:rsidTr="00B64A5B">
        <w:tc>
          <w:tcPr>
            <w:tcW w:w="3528" w:type="dxa"/>
            <w:shd w:val="clear" w:color="auto" w:fill="auto"/>
          </w:tcPr>
          <w:p w:rsidR="006F5D83" w:rsidRDefault="006F5D83" w:rsidP="00B64A5B">
            <w:pPr>
              <w:pStyle w:val="Para5"/>
            </w:pPr>
            <w:r>
              <w:t>Drawing numbers:</w:t>
            </w:r>
          </w:p>
        </w:tc>
        <w:tc>
          <w:tcPr>
            <w:tcW w:w="5193" w:type="dxa"/>
            <w:shd w:val="clear" w:color="auto" w:fill="auto"/>
          </w:tcPr>
          <w:p w:rsidR="006F5D83" w:rsidRDefault="006E0C63" w:rsidP="00B64A5B">
            <w:pPr>
              <w:pStyle w:val="Para2"/>
              <w:ind w:left="0"/>
            </w:pPr>
            <w:r>
              <w:t>TP02 to TP12</w:t>
            </w:r>
          </w:p>
        </w:tc>
      </w:tr>
      <w:tr w:rsidR="006F5D83" w:rsidTr="00B64A5B">
        <w:tc>
          <w:tcPr>
            <w:tcW w:w="3528" w:type="dxa"/>
            <w:shd w:val="clear" w:color="auto" w:fill="auto"/>
          </w:tcPr>
          <w:p w:rsidR="006F5D83" w:rsidRDefault="006F5D83" w:rsidP="00B64A5B">
            <w:pPr>
              <w:pStyle w:val="Para5"/>
            </w:pPr>
            <w:r>
              <w:t>Dated:</w:t>
            </w:r>
          </w:p>
        </w:tc>
        <w:tc>
          <w:tcPr>
            <w:tcW w:w="5193" w:type="dxa"/>
            <w:shd w:val="clear" w:color="auto" w:fill="auto"/>
          </w:tcPr>
          <w:p w:rsidR="006F5D83" w:rsidRDefault="006E0C63" w:rsidP="006E0C63">
            <w:pPr>
              <w:pStyle w:val="Para2"/>
              <w:ind w:left="0"/>
            </w:pPr>
            <w:r>
              <w:t>September 2015 (</w:t>
            </w:r>
            <w:r w:rsidRPr="00033C8A">
              <w:t>Revision 2), except TP08 which remains dated March 2015 (Revision A).</w:t>
            </w:r>
          </w:p>
        </w:tc>
      </w:tr>
    </w:tbl>
    <w:p w:rsidR="00FC407F" w:rsidRDefault="00FC407F" w:rsidP="006E0C63">
      <w:pPr>
        <w:pStyle w:val="Para1"/>
      </w:pPr>
      <w:r>
        <w:t>The decision of the Responsible Authority is affirmed.</w:t>
      </w:r>
    </w:p>
    <w:p w:rsidR="00FC407F" w:rsidRDefault="00C15038" w:rsidP="006E0C63">
      <w:pPr>
        <w:pStyle w:val="Para1"/>
      </w:pPr>
      <w:r>
        <w:br w:type="page"/>
      </w:r>
      <w:r w:rsidR="00FC407F">
        <w:lastRenderedPageBreak/>
        <w:t xml:space="preserve">In permit application </w:t>
      </w:r>
      <w:r w:rsidR="006E0C63">
        <w:t>GE/PP-28020/2015</w:t>
      </w:r>
      <w:r w:rsidR="00FC407F">
        <w:t xml:space="preserve"> no permit is granted.</w:t>
      </w:r>
    </w:p>
    <w:p w:rsidR="00FC407F" w:rsidRDefault="00FC407F"/>
    <w:p w:rsidR="00FC407F" w:rsidRDefault="00FC407F"/>
    <w:p w:rsidR="00FC407F" w:rsidRDefault="00FC407F"/>
    <w:p w:rsidR="00FC407F" w:rsidRDefault="00FC407F"/>
    <w:tbl>
      <w:tblPr>
        <w:tblW w:w="8928" w:type="dxa"/>
        <w:tblLayout w:type="fixed"/>
        <w:tblLook w:val="0000"/>
      </w:tblPr>
      <w:tblGrid>
        <w:gridCol w:w="2907"/>
        <w:gridCol w:w="2908"/>
        <w:gridCol w:w="3113"/>
      </w:tblGrid>
      <w:tr w:rsidR="00FC407F">
        <w:tblPrEx>
          <w:tblCellMar>
            <w:top w:w="0" w:type="dxa"/>
            <w:bottom w:w="0" w:type="dxa"/>
          </w:tblCellMar>
        </w:tblPrEx>
        <w:tc>
          <w:tcPr>
            <w:tcW w:w="2907" w:type="dxa"/>
          </w:tcPr>
          <w:p w:rsidR="00FC407F" w:rsidRPr="0068356F" w:rsidRDefault="0068356F">
            <w:pPr>
              <w:tabs>
                <w:tab w:val="left" w:pos="1515"/>
              </w:tabs>
            </w:pPr>
            <w:r w:rsidRPr="0068356F">
              <w:t>Michael Deidun</w:t>
            </w:r>
          </w:p>
          <w:p w:rsidR="00FC407F" w:rsidRDefault="00FC407F">
            <w:pPr>
              <w:tabs>
                <w:tab w:val="left" w:pos="1515"/>
              </w:tabs>
              <w:rPr>
                <w:b/>
              </w:rPr>
            </w:pPr>
            <w:r>
              <w:rPr>
                <w:b/>
              </w:rPr>
              <w:t>Member</w:t>
            </w:r>
          </w:p>
        </w:tc>
        <w:tc>
          <w:tcPr>
            <w:tcW w:w="2908" w:type="dxa"/>
          </w:tcPr>
          <w:p w:rsidR="00FC407F" w:rsidRDefault="00FC407F"/>
        </w:tc>
        <w:tc>
          <w:tcPr>
            <w:tcW w:w="3113" w:type="dxa"/>
          </w:tcPr>
          <w:p w:rsidR="00FC407F" w:rsidRDefault="00FC407F">
            <w:pPr>
              <w:rPr>
                <w:b/>
              </w:rPr>
            </w:pPr>
          </w:p>
          <w:p w:rsidR="00FC407F" w:rsidRDefault="00FC407F">
            <w:pPr>
              <w:rPr>
                <w:b/>
              </w:rPr>
            </w:pPr>
          </w:p>
        </w:tc>
      </w:tr>
    </w:tbl>
    <w:p w:rsidR="00FC407F" w:rsidRDefault="00FC407F">
      <w:pPr>
        <w:pStyle w:val="Heading1"/>
        <w:ind w:right="-491"/>
      </w:pPr>
    </w:p>
    <w:p w:rsidR="00FC407F" w:rsidRDefault="00C15038">
      <w:pPr>
        <w:pStyle w:val="Heading1"/>
        <w:ind w:right="-491"/>
      </w:pPr>
      <w:r>
        <w:br w:type="page"/>
      </w:r>
      <w:r w:rsidR="00FC407F">
        <w:lastRenderedPageBreak/>
        <w:t>APPEARANCES</w:t>
      </w:r>
    </w:p>
    <w:tbl>
      <w:tblPr>
        <w:tblW w:w="9108" w:type="dxa"/>
        <w:tblLayout w:type="fixed"/>
        <w:tblLook w:val="0000"/>
      </w:tblPr>
      <w:tblGrid>
        <w:gridCol w:w="2988"/>
        <w:gridCol w:w="6120"/>
      </w:tblGrid>
      <w:tr w:rsidR="00FC407F">
        <w:tblPrEx>
          <w:tblCellMar>
            <w:top w:w="0" w:type="dxa"/>
            <w:bottom w:w="0" w:type="dxa"/>
          </w:tblCellMar>
        </w:tblPrEx>
        <w:trPr>
          <w:cantSplit/>
        </w:trPr>
        <w:tc>
          <w:tcPr>
            <w:tcW w:w="2988" w:type="dxa"/>
          </w:tcPr>
          <w:p w:rsidR="00FC407F" w:rsidRDefault="00FC407F">
            <w:pPr>
              <w:pStyle w:val="TitlePagetext"/>
              <w:ind w:right="-131"/>
            </w:pPr>
            <w:r>
              <w:t>For Applicant</w:t>
            </w:r>
          </w:p>
        </w:tc>
        <w:tc>
          <w:tcPr>
            <w:tcW w:w="6120" w:type="dxa"/>
          </w:tcPr>
          <w:p w:rsidR="00FC407F" w:rsidRDefault="00AB2EAE">
            <w:pPr>
              <w:pStyle w:val="TitlePagetext"/>
            </w:pPr>
            <w:r>
              <w:t xml:space="preserve">Phil </w:t>
            </w:r>
            <w:proofErr w:type="spellStart"/>
            <w:r>
              <w:t>Bisset</w:t>
            </w:r>
            <w:proofErr w:type="spellEnd"/>
            <w:r>
              <w:t xml:space="preserve">, </w:t>
            </w:r>
            <w:r w:rsidRPr="00FD2770">
              <w:t>Partner of Minter Ellison Lawyers</w:t>
            </w:r>
            <w:r>
              <w:t>.</w:t>
            </w:r>
          </w:p>
          <w:p w:rsidR="00FC407F" w:rsidRDefault="00AB2EAE">
            <w:pPr>
              <w:pStyle w:val="TitlePagetext"/>
            </w:pPr>
            <w:r>
              <w:t>He</w:t>
            </w:r>
            <w:r w:rsidR="00FC407F">
              <w:t xml:space="preserve"> called the following witness:</w:t>
            </w:r>
          </w:p>
          <w:p w:rsidR="00FC407F" w:rsidRDefault="00F62379" w:rsidP="00F62379">
            <w:pPr>
              <w:pStyle w:val="TitlePagetext"/>
              <w:numPr>
                <w:ilvl w:val="0"/>
                <w:numId w:val="7"/>
              </w:numPr>
            </w:pPr>
            <w:r>
              <w:t xml:space="preserve">Matthew </w:t>
            </w:r>
            <w:proofErr w:type="spellStart"/>
            <w:r>
              <w:t>McFall</w:t>
            </w:r>
            <w:proofErr w:type="spellEnd"/>
            <w:r>
              <w:t xml:space="preserve"> (landscape architect) of </w:t>
            </w:r>
            <w:proofErr w:type="spellStart"/>
            <w:r>
              <w:t>Memla</w:t>
            </w:r>
            <w:proofErr w:type="spellEnd"/>
            <w:r>
              <w:t>.</w:t>
            </w:r>
          </w:p>
        </w:tc>
      </w:tr>
      <w:tr w:rsidR="00FC407F">
        <w:tblPrEx>
          <w:tblCellMar>
            <w:top w:w="0" w:type="dxa"/>
            <w:bottom w:w="0" w:type="dxa"/>
          </w:tblCellMar>
        </w:tblPrEx>
        <w:trPr>
          <w:cantSplit/>
        </w:trPr>
        <w:tc>
          <w:tcPr>
            <w:tcW w:w="2988" w:type="dxa"/>
          </w:tcPr>
          <w:p w:rsidR="00FC407F" w:rsidRDefault="00FC407F">
            <w:pPr>
              <w:pStyle w:val="TitlePagetext"/>
              <w:ind w:right="-131"/>
            </w:pPr>
            <w:r>
              <w:t>For Responsible Authority</w:t>
            </w:r>
          </w:p>
        </w:tc>
        <w:tc>
          <w:tcPr>
            <w:tcW w:w="6120" w:type="dxa"/>
          </w:tcPr>
          <w:p w:rsidR="00FC407F" w:rsidRDefault="00AB2EAE" w:rsidP="00F62379">
            <w:pPr>
              <w:pStyle w:val="TitlePagetext"/>
            </w:pPr>
            <w:r>
              <w:t xml:space="preserve">Peter O’Leary, Director of </w:t>
            </w:r>
            <w:proofErr w:type="spellStart"/>
            <w:r>
              <w:t>Polplan</w:t>
            </w:r>
            <w:proofErr w:type="spellEnd"/>
            <w:r>
              <w:t xml:space="preserve"> Pty Ltd.</w:t>
            </w:r>
          </w:p>
        </w:tc>
      </w:tr>
      <w:tr w:rsidR="00FC407F">
        <w:tblPrEx>
          <w:tblCellMar>
            <w:top w:w="0" w:type="dxa"/>
            <w:bottom w:w="0" w:type="dxa"/>
          </w:tblCellMar>
        </w:tblPrEx>
        <w:trPr>
          <w:cantSplit/>
        </w:trPr>
        <w:tc>
          <w:tcPr>
            <w:tcW w:w="2988" w:type="dxa"/>
          </w:tcPr>
          <w:p w:rsidR="00FC407F" w:rsidRDefault="00FC407F">
            <w:pPr>
              <w:pStyle w:val="TitlePagetext"/>
              <w:ind w:right="-131"/>
            </w:pPr>
            <w:r>
              <w:t>For Respondent</w:t>
            </w:r>
            <w:r w:rsidR="00F62379">
              <w:t>s</w:t>
            </w:r>
            <w:r>
              <w:t xml:space="preserve"> </w:t>
            </w:r>
          </w:p>
        </w:tc>
        <w:tc>
          <w:tcPr>
            <w:tcW w:w="6120" w:type="dxa"/>
          </w:tcPr>
          <w:p w:rsidR="00FC407F" w:rsidRDefault="00AB2EAE" w:rsidP="00F62379">
            <w:pPr>
              <w:pStyle w:val="TitlePagetext"/>
            </w:pPr>
            <w:r>
              <w:t xml:space="preserve">John &amp; Maya </w:t>
            </w:r>
            <w:proofErr w:type="spellStart"/>
            <w:r>
              <w:t>Menko</w:t>
            </w:r>
            <w:proofErr w:type="spellEnd"/>
            <w:r>
              <w:t xml:space="preserve">, Stephen </w:t>
            </w:r>
            <w:proofErr w:type="spellStart"/>
            <w:r>
              <w:t>Toth</w:t>
            </w:r>
            <w:proofErr w:type="spellEnd"/>
            <w:r>
              <w:t xml:space="preserve"> and Tony </w:t>
            </w:r>
            <w:proofErr w:type="spellStart"/>
            <w:r>
              <w:t>Boccari</w:t>
            </w:r>
            <w:proofErr w:type="spellEnd"/>
            <w:r>
              <w:t xml:space="preserve"> all appeared in person.</w:t>
            </w:r>
          </w:p>
        </w:tc>
      </w:tr>
    </w:tbl>
    <w:p w:rsidR="00C15038" w:rsidRDefault="00C15038">
      <w:pPr>
        <w:pStyle w:val="Heading1"/>
        <w:ind w:right="-491"/>
      </w:pPr>
    </w:p>
    <w:p w:rsidR="00FC407F" w:rsidRDefault="00FC407F">
      <w:pPr>
        <w:pStyle w:val="Heading1"/>
        <w:ind w:right="-491"/>
        <w:rPr>
          <w:highlight w:val="yellow"/>
        </w:rPr>
      </w:pPr>
      <w:r>
        <w:t>INFORMATION</w:t>
      </w:r>
    </w:p>
    <w:tbl>
      <w:tblPr>
        <w:tblW w:w="9108" w:type="dxa"/>
        <w:tblLayout w:type="fixed"/>
        <w:tblLook w:val="0000"/>
      </w:tblPr>
      <w:tblGrid>
        <w:gridCol w:w="3168"/>
        <w:gridCol w:w="5940"/>
      </w:tblGrid>
      <w:tr w:rsidR="00FC407F">
        <w:tblPrEx>
          <w:tblCellMar>
            <w:top w:w="0" w:type="dxa"/>
            <w:bottom w:w="0" w:type="dxa"/>
          </w:tblCellMar>
        </w:tblPrEx>
        <w:trPr>
          <w:cantSplit/>
        </w:trPr>
        <w:tc>
          <w:tcPr>
            <w:tcW w:w="3168" w:type="dxa"/>
          </w:tcPr>
          <w:p w:rsidR="00FC407F" w:rsidRDefault="00FC407F">
            <w:pPr>
              <w:pStyle w:val="TitlePagetext"/>
              <w:ind w:right="-131"/>
            </w:pPr>
            <w:r>
              <w:t>Description of Proposal</w:t>
            </w:r>
          </w:p>
        </w:tc>
        <w:tc>
          <w:tcPr>
            <w:tcW w:w="5940" w:type="dxa"/>
          </w:tcPr>
          <w:p w:rsidR="00FC407F" w:rsidRDefault="00F62379">
            <w:pPr>
              <w:pStyle w:val="TitlePagetext"/>
            </w:pPr>
            <w:r>
              <w:t xml:space="preserve">Construction of </w:t>
            </w:r>
            <w:r w:rsidR="001824CF">
              <w:t>34 apartments in a three storey building above a basement car park.</w:t>
            </w:r>
          </w:p>
        </w:tc>
      </w:tr>
      <w:tr w:rsidR="00FC407F">
        <w:tblPrEx>
          <w:tblCellMar>
            <w:top w:w="0" w:type="dxa"/>
            <w:bottom w:w="0" w:type="dxa"/>
          </w:tblCellMar>
        </w:tblPrEx>
        <w:trPr>
          <w:cantSplit/>
        </w:trPr>
        <w:tc>
          <w:tcPr>
            <w:tcW w:w="3168" w:type="dxa"/>
          </w:tcPr>
          <w:p w:rsidR="00FC407F" w:rsidRDefault="00FC407F">
            <w:pPr>
              <w:pStyle w:val="TitlePagetext"/>
              <w:ind w:right="-131"/>
            </w:pPr>
            <w:r>
              <w:t>Nature of Proceeding</w:t>
            </w:r>
          </w:p>
        </w:tc>
        <w:tc>
          <w:tcPr>
            <w:tcW w:w="5940" w:type="dxa"/>
          </w:tcPr>
          <w:p w:rsidR="00FC407F" w:rsidRPr="001824CF" w:rsidRDefault="00FC407F">
            <w:pPr>
              <w:pStyle w:val="TitlePagetext"/>
            </w:pPr>
            <w:r>
              <w:t xml:space="preserve">Application under Section 77 of the </w:t>
            </w:r>
            <w:r>
              <w:rPr>
                <w:i/>
              </w:rPr>
              <w:t xml:space="preserve">Planning and Environment Act </w:t>
            </w:r>
            <w:r>
              <w:t xml:space="preserve">1987 – to review the refusal to grant a permit. </w:t>
            </w:r>
          </w:p>
        </w:tc>
      </w:tr>
      <w:tr w:rsidR="00FC407F">
        <w:tblPrEx>
          <w:tblCellMar>
            <w:top w:w="0" w:type="dxa"/>
            <w:bottom w:w="0" w:type="dxa"/>
          </w:tblCellMar>
        </w:tblPrEx>
        <w:trPr>
          <w:cantSplit/>
        </w:trPr>
        <w:tc>
          <w:tcPr>
            <w:tcW w:w="3168" w:type="dxa"/>
          </w:tcPr>
          <w:p w:rsidR="00FC407F" w:rsidRDefault="00FC407F">
            <w:pPr>
              <w:pStyle w:val="TitlePagetext"/>
              <w:ind w:right="-131"/>
            </w:pPr>
            <w:r>
              <w:t>Zone and Overlays</w:t>
            </w:r>
          </w:p>
        </w:tc>
        <w:tc>
          <w:tcPr>
            <w:tcW w:w="5940" w:type="dxa"/>
          </w:tcPr>
          <w:p w:rsidR="00FC407F" w:rsidRDefault="001824CF">
            <w:pPr>
              <w:pStyle w:val="TitlePagetext"/>
            </w:pPr>
            <w:r>
              <w:t>General Residential Zone 1</w:t>
            </w:r>
          </w:p>
        </w:tc>
      </w:tr>
      <w:tr w:rsidR="00FC407F">
        <w:tblPrEx>
          <w:tblCellMar>
            <w:top w:w="0" w:type="dxa"/>
            <w:bottom w:w="0" w:type="dxa"/>
          </w:tblCellMar>
        </w:tblPrEx>
        <w:trPr>
          <w:cantSplit/>
        </w:trPr>
        <w:tc>
          <w:tcPr>
            <w:tcW w:w="3168" w:type="dxa"/>
          </w:tcPr>
          <w:p w:rsidR="00FC407F" w:rsidRDefault="00FC407F">
            <w:pPr>
              <w:pStyle w:val="TitlePagetext"/>
              <w:ind w:right="-131"/>
            </w:pPr>
            <w:r>
              <w:t>Permit Requirements</w:t>
            </w:r>
          </w:p>
        </w:tc>
        <w:tc>
          <w:tcPr>
            <w:tcW w:w="5940" w:type="dxa"/>
          </w:tcPr>
          <w:p w:rsidR="00FC407F" w:rsidRDefault="001824CF">
            <w:pPr>
              <w:pStyle w:val="TitlePagetext"/>
            </w:pPr>
            <w:r>
              <w:t>Clause 32.08-4 to construct two or more dwellings on a lot on land within the General Residential Zone.</w:t>
            </w:r>
          </w:p>
        </w:tc>
      </w:tr>
      <w:tr w:rsidR="00E1373C">
        <w:tblPrEx>
          <w:tblCellMar>
            <w:top w:w="0" w:type="dxa"/>
            <w:bottom w:w="0" w:type="dxa"/>
          </w:tblCellMar>
        </w:tblPrEx>
        <w:trPr>
          <w:cantSplit/>
        </w:trPr>
        <w:tc>
          <w:tcPr>
            <w:tcW w:w="3168" w:type="dxa"/>
          </w:tcPr>
          <w:p w:rsidR="00E1373C" w:rsidRDefault="00E1373C">
            <w:pPr>
              <w:pStyle w:val="TitlePagetext"/>
              <w:ind w:right="-131"/>
            </w:pPr>
            <w:r>
              <w:t>Relevant Scheme, policies and provisions</w:t>
            </w:r>
          </w:p>
        </w:tc>
        <w:tc>
          <w:tcPr>
            <w:tcW w:w="5940" w:type="dxa"/>
          </w:tcPr>
          <w:p w:rsidR="00E1373C" w:rsidRPr="00AF5255" w:rsidRDefault="00E1373C" w:rsidP="00AB2EAE">
            <w:pPr>
              <w:pStyle w:val="TitlePagetext"/>
              <w:rPr>
                <w:highlight w:val="yellow"/>
              </w:rPr>
            </w:pPr>
            <w:r>
              <w:t>Clauses 9, 10, 11, 15, 16</w:t>
            </w:r>
            <w:r w:rsidRPr="00AB2EAE">
              <w:t>, 21, 22.</w:t>
            </w:r>
            <w:r w:rsidR="00AB2EAE" w:rsidRPr="00AB2EAE">
              <w:t>07</w:t>
            </w:r>
            <w:r w:rsidRPr="00AB2EAE">
              <w:t>, 32.08</w:t>
            </w:r>
            <w:r>
              <w:t>, 52.06, 55 and 65.</w:t>
            </w:r>
          </w:p>
        </w:tc>
      </w:tr>
      <w:tr w:rsidR="00E1373C">
        <w:tblPrEx>
          <w:tblCellMar>
            <w:top w:w="0" w:type="dxa"/>
            <w:bottom w:w="0" w:type="dxa"/>
          </w:tblCellMar>
        </w:tblPrEx>
        <w:trPr>
          <w:cantSplit/>
        </w:trPr>
        <w:tc>
          <w:tcPr>
            <w:tcW w:w="3168" w:type="dxa"/>
          </w:tcPr>
          <w:p w:rsidR="00E1373C" w:rsidRDefault="00E1373C">
            <w:pPr>
              <w:pStyle w:val="TitlePagetext"/>
              <w:ind w:right="-131"/>
            </w:pPr>
            <w:r>
              <w:t>Land Description</w:t>
            </w:r>
          </w:p>
        </w:tc>
        <w:tc>
          <w:tcPr>
            <w:tcW w:w="5940" w:type="dxa"/>
          </w:tcPr>
          <w:p w:rsidR="00E1373C" w:rsidRDefault="001824CF">
            <w:pPr>
              <w:pStyle w:val="TitlePagetext"/>
            </w:pPr>
            <w:r>
              <w:t>The land parcel has been created by combining three existing allotments.  Together the parcel has a frontage to Claire Street of 45.72 metres, a depth of between 44.70 and 45.09 metres, and an overall area of 2053 square metres.  The land presently supports three single storey detached dwellings.</w:t>
            </w:r>
          </w:p>
        </w:tc>
      </w:tr>
      <w:tr w:rsidR="00E1373C">
        <w:tblPrEx>
          <w:tblCellMar>
            <w:top w:w="0" w:type="dxa"/>
            <w:bottom w:w="0" w:type="dxa"/>
          </w:tblCellMar>
        </w:tblPrEx>
        <w:trPr>
          <w:cantSplit/>
        </w:trPr>
        <w:tc>
          <w:tcPr>
            <w:tcW w:w="3168" w:type="dxa"/>
          </w:tcPr>
          <w:p w:rsidR="00E1373C" w:rsidRDefault="00E1373C">
            <w:pPr>
              <w:pStyle w:val="TitlePagetext"/>
              <w:ind w:right="-131"/>
            </w:pPr>
            <w:r>
              <w:t>Tribunal Inspection</w:t>
            </w:r>
          </w:p>
        </w:tc>
        <w:tc>
          <w:tcPr>
            <w:tcW w:w="5940" w:type="dxa"/>
          </w:tcPr>
          <w:p w:rsidR="00E1373C" w:rsidRDefault="001824CF">
            <w:pPr>
              <w:pStyle w:val="TitlePagetext"/>
            </w:pPr>
            <w:r>
              <w:t>The Tribunal inspected the site and surrounding area prior to the hearing, on 21 October 2015</w:t>
            </w:r>
            <w:r w:rsidR="00033C8A">
              <w:t>, and then conducted an accompanied inspection on 23 October 2015</w:t>
            </w:r>
            <w:r>
              <w:t>.</w:t>
            </w:r>
          </w:p>
        </w:tc>
      </w:tr>
      <w:tr w:rsidR="00E1373C">
        <w:tblPrEx>
          <w:tblCellMar>
            <w:top w:w="0" w:type="dxa"/>
            <w:bottom w:w="0" w:type="dxa"/>
          </w:tblCellMar>
        </w:tblPrEx>
        <w:trPr>
          <w:cantSplit/>
        </w:trPr>
        <w:tc>
          <w:tcPr>
            <w:tcW w:w="3168" w:type="dxa"/>
          </w:tcPr>
          <w:p w:rsidR="00E1373C" w:rsidRDefault="00E1373C">
            <w:pPr>
              <w:pStyle w:val="TitlePagetext"/>
              <w:ind w:right="-131"/>
            </w:pPr>
            <w:r>
              <w:t>Cases Referred To</w:t>
            </w:r>
          </w:p>
        </w:tc>
        <w:tc>
          <w:tcPr>
            <w:tcW w:w="5940" w:type="dxa"/>
          </w:tcPr>
          <w:p w:rsidR="00E1373C" w:rsidRDefault="00AB2EAE">
            <w:pPr>
              <w:pStyle w:val="TitlePagetext"/>
            </w:pPr>
            <w:r w:rsidRPr="00257FDF">
              <w:rPr>
                <w:i/>
              </w:rPr>
              <w:t xml:space="preserve">TEBA Pty Ltd v Glen </w:t>
            </w:r>
            <w:proofErr w:type="spellStart"/>
            <w:r w:rsidRPr="00257FDF">
              <w:rPr>
                <w:i/>
              </w:rPr>
              <w:t>Eira</w:t>
            </w:r>
            <w:proofErr w:type="spellEnd"/>
            <w:r w:rsidRPr="00257FDF">
              <w:rPr>
                <w:i/>
              </w:rPr>
              <w:t xml:space="preserve"> CC</w:t>
            </w:r>
            <w:r w:rsidRPr="00257FDF">
              <w:t xml:space="preserve"> [2014] VCAT 1095</w:t>
            </w:r>
            <w:r>
              <w:t>.</w:t>
            </w:r>
          </w:p>
        </w:tc>
      </w:tr>
    </w:tbl>
    <w:p w:rsidR="00FC407F" w:rsidRDefault="00FC407F">
      <w:pPr>
        <w:pStyle w:val="Heading1"/>
        <w:spacing w:before="120"/>
      </w:pPr>
      <w:r>
        <w:br w:type="page"/>
      </w:r>
      <w:r>
        <w:lastRenderedPageBreak/>
        <w:t>REASONS</w:t>
      </w:r>
      <w:r>
        <w:rPr>
          <w:rStyle w:val="FootnoteReference"/>
        </w:rPr>
        <w:footnoteReference w:id="1"/>
      </w:r>
    </w:p>
    <w:p w:rsidR="00FC407F" w:rsidRDefault="00FC407F">
      <w:pPr>
        <w:pStyle w:val="Heading2"/>
      </w:pPr>
      <w:r>
        <w:t>What is this proceeding about?</w:t>
      </w:r>
    </w:p>
    <w:p w:rsidR="00B9239B" w:rsidRDefault="001824CF" w:rsidP="001824CF">
      <w:pPr>
        <w:pStyle w:val="Para1"/>
        <w:numPr>
          <w:ilvl w:val="0"/>
          <w:numId w:val="17"/>
        </w:numPr>
      </w:pPr>
      <w:r>
        <w:t xml:space="preserve">The Glen </w:t>
      </w:r>
      <w:proofErr w:type="spellStart"/>
      <w:r>
        <w:t>Eira</w:t>
      </w:r>
      <w:proofErr w:type="spellEnd"/>
      <w:r>
        <w:t xml:space="preserve"> City Council has determined to refuse to grant a permit for the proposed development of a three storey apartment building on land at 6-10 Claire Street, McKinnon (the ‘review site’).  The Council’s grounds of refusal raise concerns regarding impact on neighbourhood character, consistency with policy, compliance with </w:t>
      </w:r>
      <w:r w:rsidR="00C15038">
        <w:t>v</w:t>
      </w:r>
      <w:r>
        <w:t xml:space="preserve">arious </w:t>
      </w:r>
      <w:proofErr w:type="spellStart"/>
      <w:r>
        <w:t>Rescode</w:t>
      </w:r>
      <w:proofErr w:type="spellEnd"/>
      <w:r>
        <w:t xml:space="preserve"> standards and car parking design concerns.</w:t>
      </w:r>
    </w:p>
    <w:p w:rsidR="00232FE0" w:rsidRDefault="00232FE0" w:rsidP="001824CF">
      <w:pPr>
        <w:pStyle w:val="Para1"/>
        <w:numPr>
          <w:ilvl w:val="0"/>
          <w:numId w:val="17"/>
        </w:numPr>
      </w:pPr>
      <w:proofErr w:type="spellStart"/>
      <w:r>
        <w:t>Stell</w:t>
      </w:r>
      <w:r w:rsidR="00C15038">
        <w:t>e</w:t>
      </w:r>
      <w:r>
        <w:t>r</w:t>
      </w:r>
      <w:proofErr w:type="spellEnd"/>
      <w:r>
        <w:t xml:space="preserve"> Elite Pty Ltd (the ‘Applicant’) has sought a review of the Council’s decision.  </w:t>
      </w:r>
      <w:proofErr w:type="gramStart"/>
      <w:r>
        <w:t>It’s</w:t>
      </w:r>
      <w:proofErr w:type="gramEnd"/>
      <w:r>
        <w:t xml:space="preserve"> statement of grounds essentially seek to refute the Council’s grounds of refusal.</w:t>
      </w:r>
    </w:p>
    <w:p w:rsidR="00232FE0" w:rsidRDefault="00232FE0" w:rsidP="001824CF">
      <w:pPr>
        <w:pStyle w:val="Para1"/>
        <w:numPr>
          <w:ilvl w:val="0"/>
          <w:numId w:val="17"/>
        </w:numPr>
      </w:pPr>
      <w:r>
        <w:t>The Application for Review is being contested by a number of nearby residents.  In addition to the Council’s concerns, the residents raise issues regarding off-site amenity impacts, and traffic and car parking matters.</w:t>
      </w:r>
    </w:p>
    <w:p w:rsidR="00B9239B" w:rsidRDefault="00B9239B">
      <w:pPr>
        <w:pStyle w:val="Para1"/>
      </w:pPr>
      <w:r>
        <w:t>The issues or questions for determination are:</w:t>
      </w:r>
    </w:p>
    <w:p w:rsidR="00B9239B" w:rsidRPr="004D4098" w:rsidRDefault="00232FE0" w:rsidP="00B9239B">
      <w:pPr>
        <w:pStyle w:val="Para1"/>
        <w:numPr>
          <w:ilvl w:val="1"/>
          <w:numId w:val="10"/>
        </w:numPr>
        <w:rPr>
          <w:highlight w:val="yellow"/>
        </w:rPr>
      </w:pPr>
      <w:r w:rsidRPr="004D4098">
        <w:rPr>
          <w:highlight w:val="yellow"/>
        </w:rPr>
        <w:t>What is the strategic intent for this locale?</w:t>
      </w:r>
    </w:p>
    <w:p w:rsidR="00232FE0" w:rsidRDefault="00232FE0" w:rsidP="00B9239B">
      <w:pPr>
        <w:pStyle w:val="Para1"/>
        <w:numPr>
          <w:ilvl w:val="1"/>
          <w:numId w:val="10"/>
        </w:numPr>
      </w:pPr>
      <w:r w:rsidRPr="004D4098">
        <w:rPr>
          <w:highlight w:val="yellow"/>
        </w:rPr>
        <w:t>Is the proposal an appropriate response to the preferred neighbourhood character</w:t>
      </w:r>
      <w:r>
        <w:t>?</w:t>
      </w:r>
    </w:p>
    <w:p w:rsidR="00232FE0" w:rsidRDefault="00232FE0" w:rsidP="00B9239B">
      <w:pPr>
        <w:pStyle w:val="Para1"/>
        <w:numPr>
          <w:ilvl w:val="1"/>
          <w:numId w:val="10"/>
        </w:numPr>
      </w:pPr>
      <w:r>
        <w:t>Will there be any unreasonable off-site amenity impacts?</w:t>
      </w:r>
    </w:p>
    <w:p w:rsidR="00232FE0" w:rsidRDefault="00232FE0" w:rsidP="00B9239B">
      <w:pPr>
        <w:pStyle w:val="Para1"/>
        <w:numPr>
          <w:ilvl w:val="1"/>
          <w:numId w:val="10"/>
        </w:numPr>
      </w:pPr>
      <w:r>
        <w:t>Is an appropriate level of internal amenity achieved?</w:t>
      </w:r>
    </w:p>
    <w:p w:rsidR="00232FE0" w:rsidRDefault="00232FE0" w:rsidP="00B9239B">
      <w:pPr>
        <w:pStyle w:val="Para1"/>
        <w:numPr>
          <w:ilvl w:val="1"/>
          <w:numId w:val="10"/>
        </w:numPr>
      </w:pPr>
      <w:r>
        <w:t>Does the proposal appropriately provide for car parking and traffic movements?</w:t>
      </w:r>
    </w:p>
    <w:p w:rsidR="00FC407F" w:rsidRDefault="00B9239B">
      <w:pPr>
        <w:pStyle w:val="Para1"/>
      </w:pPr>
      <w:r>
        <w:t xml:space="preserve">The Tribunal must </w:t>
      </w:r>
      <w:r w:rsidRPr="00232FE0">
        <w:t>decide whether a permit should be granted and, if so, what conditions should be applied.  Having considered all submissions and evidence presented with regard</w:t>
      </w:r>
      <w:r w:rsidRPr="005F57E3">
        <w:t xml:space="preserve"> to the applicable policies and provisions</w:t>
      </w:r>
      <w:r>
        <w:t xml:space="preserve"> of the </w:t>
      </w:r>
      <w:r w:rsidR="00232FE0">
        <w:t xml:space="preserve">Glen </w:t>
      </w:r>
      <w:proofErr w:type="spellStart"/>
      <w:r w:rsidR="00232FE0">
        <w:t>Eira</w:t>
      </w:r>
      <w:proofErr w:type="spellEnd"/>
      <w:r>
        <w:t xml:space="preserve"> Planning Scheme</w:t>
      </w:r>
      <w:r w:rsidRPr="00033C8A">
        <w:t xml:space="preserve">, I have decided to </w:t>
      </w:r>
      <w:r w:rsidR="00AB2EAE" w:rsidRPr="00033C8A">
        <w:t>affirm the Council’s decision, and direct that no permit be granted</w:t>
      </w:r>
      <w:r w:rsidRPr="00033C8A">
        <w:t>.  My reasons</w:t>
      </w:r>
      <w:r>
        <w:t xml:space="preserve"> follow.</w:t>
      </w:r>
    </w:p>
    <w:p w:rsidR="00FC407F" w:rsidRDefault="00232FE0">
      <w:pPr>
        <w:pStyle w:val="Heading2"/>
      </w:pPr>
      <w:r>
        <w:t>What is the strategic intent for this locale?</w:t>
      </w:r>
    </w:p>
    <w:p w:rsidR="005860EE" w:rsidRDefault="005860EE" w:rsidP="005860EE">
      <w:pPr>
        <w:pStyle w:val="Para1"/>
        <w:rPr>
          <w:lang w:eastAsia="en-AU"/>
        </w:rPr>
      </w:pPr>
      <w:r>
        <w:rPr>
          <w:lang w:eastAsia="en-AU"/>
        </w:rPr>
        <w:t xml:space="preserve">In the planning framework that applies in Victoria, all decisions on planning permit applications are guided by a set of policy statements.  Policy exists at a State level which applies across Victoria, and </w:t>
      </w:r>
      <w:r w:rsidR="00C15038">
        <w:rPr>
          <w:lang w:eastAsia="en-AU"/>
        </w:rPr>
        <w:t xml:space="preserve">additional policy </w:t>
      </w:r>
      <w:r>
        <w:rPr>
          <w:lang w:eastAsia="en-AU"/>
        </w:rPr>
        <w:t>at a local level is moulded to suit the individual set of circumstances facing each municipality.  This local policy is drafted and put forward by each individual Council, and approved by the Minister for Planning after an appropriate level of community consultation.</w:t>
      </w:r>
    </w:p>
    <w:p w:rsidR="005860EE" w:rsidRDefault="005860EE" w:rsidP="005860EE">
      <w:pPr>
        <w:pStyle w:val="Para1"/>
        <w:rPr>
          <w:lang w:eastAsia="en-AU"/>
        </w:rPr>
      </w:pPr>
      <w:r>
        <w:rPr>
          <w:lang w:eastAsia="en-AU"/>
        </w:rPr>
        <w:lastRenderedPageBreak/>
        <w:t xml:space="preserve">At a State level, policy seeks to increase the number of houses within Metropolitan Melbourne.  This policy responds to the high rate of population growth Melbourne is currently experiencing, as a result of birth rates, longer life expectancy, migration internally within Australia and international migration. It is not sustainable for all new housing to be provided in the growth areas on the fringe of Melbourne.  The reasons for this are well documented, and too extensive to be properly explained in a Tribunal decision focussed on one individual </w:t>
      </w:r>
      <w:r w:rsidR="00D74B44">
        <w:rPr>
          <w:lang w:eastAsia="en-AU"/>
        </w:rPr>
        <w:t xml:space="preserve">development </w:t>
      </w:r>
      <w:r>
        <w:rPr>
          <w:lang w:eastAsia="en-AU"/>
        </w:rPr>
        <w:t>proposal.  However successive Victorian governments have long recognised that the social, environmental, agricultural and financial cost of providing all new housing at the urban fringe is too great a burden for the community of Victoria to pay.</w:t>
      </w:r>
    </w:p>
    <w:p w:rsidR="005860EE" w:rsidRDefault="005860EE" w:rsidP="005860EE">
      <w:pPr>
        <w:pStyle w:val="Para1"/>
        <w:rPr>
          <w:lang w:eastAsia="en-AU"/>
        </w:rPr>
      </w:pPr>
      <w:r>
        <w:rPr>
          <w:lang w:eastAsia="en-AU"/>
        </w:rPr>
        <w:t>For some decades now, an important part of State policy has sought to increase the existing housing supply in the established suburbs of Metropolitan Melbourne.  These policies have been supported by various strategic documents released by successive Victorian governments.  In particular, those suburbs that provide good or better access to a wide range of services and facilities are preferred, particularly those with access to train stations and other primary forms of public transport.  Invariably, those suburbs offering the best levels of such access are located in the inner and middle ring suburbs.</w:t>
      </w:r>
    </w:p>
    <w:p w:rsidR="005860EE" w:rsidRDefault="005860EE" w:rsidP="005860EE">
      <w:pPr>
        <w:pStyle w:val="Para1"/>
        <w:rPr>
          <w:lang w:eastAsia="en-AU"/>
        </w:rPr>
      </w:pPr>
      <w:r>
        <w:rPr>
          <w:lang w:eastAsia="en-AU"/>
        </w:rPr>
        <w:t xml:space="preserve">The present version of State policy, supported by Plan Melbourne, seeks to have </w:t>
      </w:r>
      <w:r w:rsidR="00F7634B">
        <w:rPr>
          <w:lang w:eastAsia="en-AU"/>
        </w:rPr>
        <w:t>just over 60</w:t>
      </w:r>
      <w:r>
        <w:rPr>
          <w:lang w:eastAsia="en-AU"/>
        </w:rPr>
        <w:t xml:space="preserve">% of all new housing provided in the established </w:t>
      </w:r>
      <w:r w:rsidR="00F7634B">
        <w:rPr>
          <w:lang w:eastAsia="en-AU"/>
        </w:rPr>
        <w:t>areas</w:t>
      </w:r>
      <w:r>
        <w:rPr>
          <w:lang w:eastAsia="en-AU"/>
        </w:rPr>
        <w:t xml:space="preserve"> of Melbourne.</w:t>
      </w:r>
      <w:r w:rsidR="00F7634B">
        <w:rPr>
          <w:rStyle w:val="FootnoteReference"/>
          <w:lang w:eastAsia="en-AU"/>
        </w:rPr>
        <w:footnoteReference w:id="2"/>
      </w:r>
      <w:r w:rsidR="00F7634B">
        <w:rPr>
          <w:lang w:eastAsia="en-AU"/>
        </w:rPr>
        <w:t xml:space="preserve"> </w:t>
      </w:r>
    </w:p>
    <w:p w:rsidR="005860EE" w:rsidRDefault="00C15038" w:rsidP="005860EE">
      <w:pPr>
        <w:pStyle w:val="Para1"/>
        <w:rPr>
          <w:lang w:eastAsia="en-AU"/>
        </w:rPr>
      </w:pPr>
      <w:r>
        <w:rPr>
          <w:lang w:eastAsia="en-AU"/>
        </w:rPr>
        <w:t>Coinciding with th</w:t>
      </w:r>
      <w:r w:rsidR="005860EE">
        <w:rPr>
          <w:lang w:eastAsia="en-AU"/>
        </w:rPr>
        <w:t>is</w:t>
      </w:r>
      <w:r>
        <w:rPr>
          <w:lang w:eastAsia="en-AU"/>
        </w:rPr>
        <w:t xml:space="preserve"> increased </w:t>
      </w:r>
      <w:r w:rsidR="005860EE">
        <w:rPr>
          <w:lang w:eastAsia="en-AU"/>
        </w:rPr>
        <w:t>need</w:t>
      </w:r>
      <w:r>
        <w:rPr>
          <w:lang w:eastAsia="en-AU"/>
        </w:rPr>
        <w:t xml:space="preserve"> for additional housing</w:t>
      </w:r>
      <w:r w:rsidR="005860EE">
        <w:rPr>
          <w:lang w:eastAsia="en-AU"/>
        </w:rPr>
        <w:t>, is an affordability cris</w:t>
      </w:r>
      <w:r w:rsidR="00D74B44">
        <w:rPr>
          <w:lang w:eastAsia="en-AU"/>
        </w:rPr>
        <w:t>i</w:t>
      </w:r>
      <w:r w:rsidR="005860EE">
        <w:rPr>
          <w:lang w:eastAsia="en-AU"/>
        </w:rPr>
        <w:t>s, and a growing spatial divide between those households that can afford to live in well serviced locations close to jobs and a range of services and facilities, and those that are pushed to the fringes of our metropolitan area, where access to employment and an equivalent range of facilities demands more resources in the form of both time and money.  The provision of additional and more diverse housing options in our inner and middle ring suburbs is one response to this crisis, but also the most significant.</w:t>
      </w:r>
    </w:p>
    <w:p w:rsidR="005860EE" w:rsidRDefault="00BB7BBE" w:rsidP="005860EE">
      <w:pPr>
        <w:pStyle w:val="Para1"/>
        <w:rPr>
          <w:lang w:eastAsia="en-AU"/>
        </w:rPr>
      </w:pPr>
      <w:r>
        <w:rPr>
          <w:lang w:eastAsia="en-AU"/>
        </w:rPr>
        <w:t xml:space="preserve">The </w:t>
      </w:r>
      <w:r w:rsidR="005860EE">
        <w:rPr>
          <w:lang w:eastAsia="en-AU"/>
        </w:rPr>
        <w:t xml:space="preserve">Glen </w:t>
      </w:r>
      <w:proofErr w:type="spellStart"/>
      <w:r w:rsidR="005860EE">
        <w:rPr>
          <w:lang w:eastAsia="en-AU"/>
        </w:rPr>
        <w:t>Eira</w:t>
      </w:r>
      <w:proofErr w:type="spellEnd"/>
      <w:r w:rsidR="005860EE">
        <w:rPr>
          <w:lang w:eastAsia="en-AU"/>
        </w:rPr>
        <w:t xml:space="preserve"> </w:t>
      </w:r>
      <w:r>
        <w:rPr>
          <w:lang w:eastAsia="en-AU"/>
        </w:rPr>
        <w:t xml:space="preserve">City Council </w:t>
      </w:r>
      <w:r w:rsidR="005860EE">
        <w:rPr>
          <w:lang w:eastAsia="en-AU"/>
        </w:rPr>
        <w:t xml:space="preserve">has sought to adopt a particular strategy in implementing State housing policy to its municipality.  It has sought to protect 78% of its municipality from any development more intense than 2 dwellings per allotment through the application of a Neighbourhood Residential Zone and Minimal Change Area policy.  This is not a new approach.  The Minimal Change Area policy has been in place since </w:t>
      </w:r>
      <w:r w:rsidR="00F7634B">
        <w:rPr>
          <w:lang w:eastAsia="en-AU"/>
        </w:rPr>
        <w:t>28 October 2004</w:t>
      </w:r>
      <w:r w:rsidR="005860EE">
        <w:rPr>
          <w:lang w:eastAsia="en-AU"/>
        </w:rPr>
        <w:t>.</w:t>
      </w:r>
      <w:r w:rsidR="00F7634B">
        <w:rPr>
          <w:rStyle w:val="FootnoteReference"/>
          <w:lang w:eastAsia="en-AU"/>
        </w:rPr>
        <w:footnoteReference w:id="3"/>
      </w:r>
      <w:r w:rsidR="005860EE">
        <w:rPr>
          <w:lang w:eastAsia="en-AU"/>
        </w:rPr>
        <w:t xml:space="preserve"> This policy is not without consequence.  While it successfully protects the majority of the residential areas in Glen </w:t>
      </w:r>
      <w:proofErr w:type="spellStart"/>
      <w:r w:rsidR="005860EE">
        <w:rPr>
          <w:lang w:eastAsia="en-AU"/>
        </w:rPr>
        <w:t>Eira</w:t>
      </w:r>
      <w:proofErr w:type="spellEnd"/>
      <w:r w:rsidR="005860EE">
        <w:rPr>
          <w:lang w:eastAsia="en-AU"/>
        </w:rPr>
        <w:t xml:space="preserve"> from </w:t>
      </w:r>
      <w:r w:rsidR="005860EE">
        <w:rPr>
          <w:lang w:eastAsia="en-AU"/>
        </w:rPr>
        <w:lastRenderedPageBreak/>
        <w:t>most forms of medium density housing, it also requires the remaining areas</w:t>
      </w:r>
      <w:r w:rsidR="00C15038">
        <w:rPr>
          <w:lang w:eastAsia="en-AU"/>
        </w:rPr>
        <w:t>, referred to as Housing Diversity Areas,</w:t>
      </w:r>
      <w:r w:rsidR="005860EE">
        <w:rPr>
          <w:lang w:eastAsia="en-AU"/>
        </w:rPr>
        <w:t xml:space="preserve"> to absorb the housing demand of the entire municipality.  This is necessary for Glen </w:t>
      </w:r>
      <w:proofErr w:type="spellStart"/>
      <w:r w:rsidR="005860EE">
        <w:rPr>
          <w:lang w:eastAsia="en-AU"/>
        </w:rPr>
        <w:t>Eira</w:t>
      </w:r>
      <w:proofErr w:type="spellEnd"/>
      <w:r w:rsidR="005860EE">
        <w:rPr>
          <w:lang w:eastAsia="en-AU"/>
        </w:rPr>
        <w:t xml:space="preserve"> </w:t>
      </w:r>
      <w:r>
        <w:rPr>
          <w:lang w:eastAsia="en-AU"/>
        </w:rPr>
        <w:t xml:space="preserve">City </w:t>
      </w:r>
      <w:r w:rsidR="005860EE">
        <w:rPr>
          <w:lang w:eastAsia="en-AU"/>
        </w:rPr>
        <w:t>Council to play its role in providing the additional housing in the established suburbs that has long been a key plank of State planning policy.</w:t>
      </w:r>
      <w:r w:rsidR="00F7634B">
        <w:rPr>
          <w:lang w:eastAsia="en-AU"/>
        </w:rPr>
        <w:t xml:space="preserve">  This intent is made clear by the following policy statement</w:t>
      </w:r>
      <w:r w:rsidR="00D74B44">
        <w:rPr>
          <w:lang w:eastAsia="en-AU"/>
        </w:rPr>
        <w:t xml:space="preserve"> from the Glen </w:t>
      </w:r>
      <w:proofErr w:type="spellStart"/>
      <w:r w:rsidR="00D74B44">
        <w:rPr>
          <w:lang w:eastAsia="en-AU"/>
        </w:rPr>
        <w:t>Eira</w:t>
      </w:r>
      <w:proofErr w:type="spellEnd"/>
      <w:r w:rsidR="00D74B44">
        <w:rPr>
          <w:lang w:eastAsia="en-AU"/>
        </w:rPr>
        <w:t xml:space="preserve"> Planning Scheme</w:t>
      </w:r>
      <w:r w:rsidR="00F7634B">
        <w:rPr>
          <w:lang w:eastAsia="en-AU"/>
        </w:rPr>
        <w:t>:</w:t>
      </w:r>
    </w:p>
    <w:p w:rsidR="00F7634B" w:rsidRDefault="00F7634B" w:rsidP="00F7634B">
      <w:pPr>
        <w:pStyle w:val="Quote1"/>
        <w:rPr>
          <w:lang w:eastAsia="en-AU"/>
        </w:rPr>
      </w:pPr>
      <w:r>
        <w:rPr>
          <w:lang w:eastAsia="en-AU"/>
        </w:rPr>
        <w:t xml:space="preserve">The Framework Plan indicates the location of the housing diversity areas. It is intended that the housing diversity areas will accommodate the majority of additional dwellings required to house Glen </w:t>
      </w:r>
      <w:proofErr w:type="spellStart"/>
      <w:r>
        <w:rPr>
          <w:lang w:eastAsia="en-AU"/>
        </w:rPr>
        <w:t>Eira’s</w:t>
      </w:r>
      <w:proofErr w:type="spellEnd"/>
      <w:r>
        <w:rPr>
          <w:lang w:eastAsia="en-AU"/>
        </w:rPr>
        <w:t xml:space="preserve"> future population. The designated locations are indicative. Their area and the type of housing appropriate will vary depending on the location. Multi unit development is generally encouraged in these locations provided it is compatible with surrounding uses.</w:t>
      </w:r>
    </w:p>
    <w:p w:rsidR="00F7634B" w:rsidRDefault="00F7634B" w:rsidP="00F7634B">
      <w:pPr>
        <w:pStyle w:val="Quote1"/>
        <w:rPr>
          <w:lang w:eastAsia="en-AU"/>
        </w:rPr>
      </w:pPr>
      <w:r>
        <w:rPr>
          <w:lang w:eastAsia="en-AU"/>
        </w:rPr>
        <w:t>Elsewhere in minimal change areas, Council seeks to maintain the character of residential areas. New single dwellings and multi dwelling developments will be catered for provided development is consistent with surrounding use, character and scale.</w:t>
      </w:r>
      <w:r>
        <w:rPr>
          <w:rStyle w:val="FootnoteReference"/>
          <w:lang w:eastAsia="en-AU"/>
        </w:rPr>
        <w:footnoteReference w:id="4"/>
      </w:r>
    </w:p>
    <w:p w:rsidR="005860EE" w:rsidRDefault="005860EE" w:rsidP="005860EE">
      <w:pPr>
        <w:pStyle w:val="Para1"/>
        <w:rPr>
          <w:lang w:eastAsia="en-AU"/>
        </w:rPr>
      </w:pPr>
      <w:r>
        <w:rPr>
          <w:lang w:eastAsia="en-AU"/>
        </w:rPr>
        <w:t xml:space="preserve">The very high level of protection that Glen </w:t>
      </w:r>
      <w:proofErr w:type="spellStart"/>
      <w:r>
        <w:rPr>
          <w:lang w:eastAsia="en-AU"/>
        </w:rPr>
        <w:t>Eira</w:t>
      </w:r>
      <w:proofErr w:type="spellEnd"/>
      <w:r>
        <w:rPr>
          <w:lang w:eastAsia="en-AU"/>
        </w:rPr>
        <w:t xml:space="preserve"> </w:t>
      </w:r>
      <w:r w:rsidR="00BB7BBE">
        <w:rPr>
          <w:lang w:eastAsia="en-AU"/>
        </w:rPr>
        <w:t xml:space="preserve">City </w:t>
      </w:r>
      <w:r>
        <w:rPr>
          <w:lang w:eastAsia="en-AU"/>
        </w:rPr>
        <w:t>Council has adopted for the bulk of its residential areas, can only be achieved if substantial opportunities for new housing are created elsewhere.  The two strategies go hand in hand.  Alternatively this Council could have adopted a more graduated support for medium density housing across all of its residential areas, but that is not the path this Council has chosen to take, and quite legitimately so.</w:t>
      </w:r>
    </w:p>
    <w:p w:rsidR="005860EE" w:rsidRDefault="005860EE" w:rsidP="005860EE">
      <w:pPr>
        <w:pStyle w:val="Para1"/>
        <w:rPr>
          <w:lang w:eastAsia="en-AU"/>
        </w:rPr>
      </w:pPr>
      <w:r>
        <w:rPr>
          <w:lang w:eastAsia="en-AU"/>
        </w:rPr>
        <w:t xml:space="preserve">The result is that streets such as Claire Street, McKinnon are identified to take on significant levels of change, to accommodate the additional housing locked out of most of the other residential areas.  </w:t>
      </w:r>
      <w:r w:rsidR="00BB7BBE">
        <w:rPr>
          <w:lang w:eastAsia="en-AU"/>
        </w:rPr>
        <w:t>In support of this outcome, p</w:t>
      </w:r>
      <w:r>
        <w:rPr>
          <w:lang w:eastAsia="en-AU"/>
        </w:rPr>
        <w:t xml:space="preserve">olicy at a local level from the Glen </w:t>
      </w:r>
      <w:proofErr w:type="spellStart"/>
      <w:r>
        <w:rPr>
          <w:lang w:eastAsia="en-AU"/>
        </w:rPr>
        <w:t>Eira</w:t>
      </w:r>
      <w:proofErr w:type="spellEnd"/>
      <w:r>
        <w:rPr>
          <w:lang w:eastAsia="en-AU"/>
        </w:rPr>
        <w:t xml:space="preserve"> Planning Scheme that applies to Claire Street includes the following</w:t>
      </w:r>
      <w:r w:rsidR="00033C8A">
        <w:rPr>
          <w:lang w:eastAsia="en-AU"/>
        </w:rPr>
        <w:t>:</w:t>
      </w:r>
    </w:p>
    <w:p w:rsidR="005860EE" w:rsidRDefault="00F7634B" w:rsidP="00F7634B">
      <w:pPr>
        <w:pStyle w:val="Quote1"/>
        <w:rPr>
          <w:lang w:eastAsia="en-AU"/>
        </w:rPr>
      </w:pPr>
      <w:r>
        <w:rPr>
          <w:lang w:eastAsia="en-AU"/>
        </w:rPr>
        <w:t>In managing the municipality’s projected housing demand, Council supports a targeted approach to meet its future housing needs. A targeted approach involves identifying areas throughout the City where multi-unit development is encouraged and facilitated through local planning policies and statutory controls.</w:t>
      </w:r>
      <w:r>
        <w:rPr>
          <w:rStyle w:val="FootnoteReference"/>
          <w:lang w:eastAsia="en-AU"/>
        </w:rPr>
        <w:footnoteReference w:id="5"/>
      </w:r>
    </w:p>
    <w:p w:rsidR="00AF05C2" w:rsidRDefault="00AF05C2" w:rsidP="00AF05C2">
      <w:pPr>
        <w:pStyle w:val="Quote1"/>
        <w:rPr>
          <w:lang w:eastAsia="en-AU"/>
        </w:rPr>
      </w:pPr>
      <w:r>
        <w:rPr>
          <w:lang w:eastAsia="en-AU"/>
        </w:rPr>
        <w:t>Guide multi-unit development towards obvious strategic locations that have good access to public transport, commercial, community, educational and recreational services and facilities.</w:t>
      </w:r>
      <w:r>
        <w:rPr>
          <w:rStyle w:val="FootnoteReference"/>
          <w:lang w:eastAsia="en-AU"/>
        </w:rPr>
        <w:footnoteReference w:id="6"/>
      </w:r>
    </w:p>
    <w:p w:rsidR="009A6E85" w:rsidRDefault="009A6E85" w:rsidP="009A6E85">
      <w:pPr>
        <w:pStyle w:val="Quote1"/>
        <w:rPr>
          <w:lang w:eastAsia="en-AU"/>
        </w:rPr>
      </w:pPr>
      <w:r>
        <w:rPr>
          <w:lang w:eastAsia="en-AU"/>
        </w:rPr>
        <w:t xml:space="preserve">A range of housing types is encouraged in housing diversity areas, including multi-unit development. The character of housing diversity </w:t>
      </w:r>
      <w:r>
        <w:rPr>
          <w:lang w:eastAsia="en-AU"/>
        </w:rPr>
        <w:lastRenderedPageBreak/>
        <w:t>areas will continue to evolve over time as new single houses, two dwelling developments and multi-unit developments are constructed.</w:t>
      </w:r>
      <w:r>
        <w:rPr>
          <w:rStyle w:val="FootnoteReference"/>
          <w:lang w:eastAsia="en-AU"/>
        </w:rPr>
        <w:footnoteReference w:id="7"/>
      </w:r>
    </w:p>
    <w:p w:rsidR="009A6E85" w:rsidRDefault="009A6E85" w:rsidP="009A6E85">
      <w:pPr>
        <w:pStyle w:val="Quote1"/>
        <w:rPr>
          <w:lang w:eastAsia="en-AU"/>
        </w:rPr>
      </w:pPr>
      <w:r>
        <w:rPr>
          <w:lang w:eastAsia="en-AU"/>
        </w:rPr>
        <w:t>Recognise neighbourhood centres as locations which provide significant opportunities for housing diversity, but at a lesser scale and density than developments in urban villages and the Phoenix Precinct.</w:t>
      </w:r>
      <w:r>
        <w:rPr>
          <w:rStyle w:val="FootnoteReference"/>
          <w:lang w:eastAsia="en-AU"/>
        </w:rPr>
        <w:footnoteReference w:id="8"/>
      </w:r>
    </w:p>
    <w:p w:rsidR="005860EE" w:rsidRPr="00D42B62" w:rsidRDefault="005860EE" w:rsidP="005860EE">
      <w:pPr>
        <w:pStyle w:val="Para1"/>
        <w:rPr>
          <w:highlight w:val="yellow"/>
          <w:lang w:eastAsia="en-AU"/>
        </w:rPr>
      </w:pPr>
      <w:r w:rsidRPr="00D42B62">
        <w:rPr>
          <w:highlight w:val="yellow"/>
          <w:lang w:eastAsia="en-AU"/>
        </w:rPr>
        <w:t xml:space="preserve">I understand this vision does not agree with the hopes and aspirations of the local community, including those that appeared </w:t>
      </w:r>
      <w:r w:rsidR="00572F41" w:rsidRPr="00D42B62">
        <w:rPr>
          <w:highlight w:val="yellow"/>
          <w:lang w:eastAsia="en-AU"/>
        </w:rPr>
        <w:t>at</w:t>
      </w:r>
      <w:r w:rsidRPr="00D42B62">
        <w:rPr>
          <w:highlight w:val="yellow"/>
          <w:lang w:eastAsia="en-AU"/>
        </w:rPr>
        <w:t xml:space="preserve"> this hearing.  I was moved by the emotional submissions made by a number of residents that have clearly planned their long term future here in this neighbourhood, and </w:t>
      </w:r>
      <w:r w:rsidR="00BB7BBE" w:rsidRPr="00D42B62">
        <w:rPr>
          <w:highlight w:val="yellow"/>
          <w:lang w:eastAsia="en-AU"/>
        </w:rPr>
        <w:t xml:space="preserve">who </w:t>
      </w:r>
      <w:r w:rsidRPr="00D42B62">
        <w:rPr>
          <w:highlight w:val="yellow"/>
          <w:lang w:eastAsia="en-AU"/>
        </w:rPr>
        <w:t xml:space="preserve">see this future threatened by the type of development proposed for the review site.  While I have been moved by these submissions, I must be guided in my decision making by the content of the Glen </w:t>
      </w:r>
      <w:proofErr w:type="spellStart"/>
      <w:r w:rsidRPr="00D42B62">
        <w:rPr>
          <w:highlight w:val="yellow"/>
          <w:lang w:eastAsia="en-AU"/>
        </w:rPr>
        <w:t>Eira</w:t>
      </w:r>
      <w:proofErr w:type="spellEnd"/>
      <w:r w:rsidRPr="00D42B62">
        <w:rPr>
          <w:highlight w:val="yellow"/>
          <w:lang w:eastAsia="en-AU"/>
        </w:rPr>
        <w:t xml:space="preserve"> Planning Scheme.</w:t>
      </w:r>
      <w:r>
        <w:rPr>
          <w:lang w:eastAsia="en-AU"/>
        </w:rPr>
        <w:t xml:space="preserve">  This Planning Scheme has been drafted and adopted following extensive community consultation, thorough analysis by an independent panel of experts, and approval by successive Ministers for Planning.  By law, I am required to consider the submissions that I have heard, and assess the plans that are before me, </w:t>
      </w:r>
      <w:r w:rsidRPr="00D42B62">
        <w:rPr>
          <w:highlight w:val="yellow"/>
          <w:lang w:eastAsia="en-AU"/>
        </w:rPr>
        <w:t xml:space="preserve">through the prism of guidance contained in the Glen </w:t>
      </w:r>
      <w:proofErr w:type="spellStart"/>
      <w:r w:rsidRPr="00D42B62">
        <w:rPr>
          <w:highlight w:val="yellow"/>
          <w:lang w:eastAsia="en-AU"/>
        </w:rPr>
        <w:t>Eira</w:t>
      </w:r>
      <w:proofErr w:type="spellEnd"/>
      <w:r w:rsidRPr="00D42B62">
        <w:rPr>
          <w:highlight w:val="yellow"/>
          <w:lang w:eastAsia="en-AU"/>
        </w:rPr>
        <w:t xml:space="preserve"> Planning Scheme.</w:t>
      </w:r>
    </w:p>
    <w:p w:rsidR="00257FDF" w:rsidRDefault="00257FDF" w:rsidP="005860EE">
      <w:pPr>
        <w:pStyle w:val="Para1"/>
        <w:rPr>
          <w:lang w:eastAsia="en-AU"/>
        </w:rPr>
      </w:pPr>
      <w:r>
        <w:rPr>
          <w:lang w:eastAsia="en-AU"/>
        </w:rPr>
        <w:t xml:space="preserve">This is not the first time in this immediate neighbourhood where the Tribunal has been faced with very different expectations of this area’s future.  The following description comes from the decision of </w:t>
      </w:r>
      <w:r w:rsidRPr="00257FDF">
        <w:rPr>
          <w:i/>
        </w:rPr>
        <w:t xml:space="preserve">TEBA Pty Ltd v Glen </w:t>
      </w:r>
      <w:proofErr w:type="spellStart"/>
      <w:r w:rsidRPr="00257FDF">
        <w:rPr>
          <w:i/>
        </w:rPr>
        <w:t>Eira</w:t>
      </w:r>
      <w:proofErr w:type="spellEnd"/>
      <w:r w:rsidRPr="00257FDF">
        <w:rPr>
          <w:i/>
        </w:rPr>
        <w:t xml:space="preserve"> CC</w:t>
      </w:r>
      <w:r>
        <w:t>,</w:t>
      </w:r>
      <w:r>
        <w:rPr>
          <w:rStyle w:val="FootnoteReference"/>
        </w:rPr>
        <w:footnoteReference w:id="9"/>
      </w:r>
      <w:r>
        <w:t xml:space="preserve"> but could equally apply to the proceeding that is presently before me:</w:t>
      </w:r>
    </w:p>
    <w:p w:rsidR="00257FDF" w:rsidRPr="00257FDF" w:rsidRDefault="00257FDF" w:rsidP="00257FDF">
      <w:pPr>
        <w:pStyle w:val="Quote1"/>
        <w:rPr>
          <w:lang w:eastAsia="en-AU"/>
        </w:rPr>
      </w:pPr>
      <w:bookmarkStart w:id="11" w:name="Heading84"/>
      <w:bookmarkStart w:id="12" w:name="Heading85"/>
      <w:bookmarkEnd w:id="11"/>
      <w:bookmarkEnd w:id="12"/>
      <w:r w:rsidRPr="00257FDF">
        <w:rPr>
          <w:lang w:eastAsia="en-AU"/>
        </w:rPr>
        <w:t xml:space="preserve">This hearing has again highlighted the very different expectations about the future of our neighbourhoods and where we live. Different expectations about what we want for ourselves, for our families and our neighbours, and for our community. </w:t>
      </w:r>
    </w:p>
    <w:p w:rsidR="00257FDF" w:rsidRPr="00257FDF" w:rsidRDefault="00257FDF" w:rsidP="00257FDF">
      <w:pPr>
        <w:pStyle w:val="Quote1"/>
        <w:rPr>
          <w:lang w:eastAsia="en-AU"/>
        </w:rPr>
      </w:pPr>
      <w:r w:rsidRPr="00257FDF">
        <w:rPr>
          <w:lang w:eastAsia="en-AU"/>
        </w:rPr>
        <w:t xml:space="preserve">On the one hand, I have heard from residents who, whilst accepting that some evolutionary change will occur in Prince Edward Avenue and nearby streets, </w:t>
      </w:r>
      <w:r w:rsidRPr="002048E0">
        <w:rPr>
          <w:highlight w:val="yellow"/>
          <w:lang w:eastAsia="en-AU"/>
        </w:rPr>
        <w:t xml:space="preserve">do not accept the physical change which is likely to occur because of the controls and policies contained in the Glen </w:t>
      </w:r>
      <w:proofErr w:type="spellStart"/>
      <w:r w:rsidRPr="002048E0">
        <w:rPr>
          <w:highlight w:val="yellow"/>
          <w:lang w:eastAsia="en-AU"/>
        </w:rPr>
        <w:t>Eira</w:t>
      </w:r>
      <w:proofErr w:type="spellEnd"/>
      <w:r w:rsidRPr="002048E0">
        <w:rPr>
          <w:highlight w:val="yellow"/>
          <w:lang w:eastAsia="en-AU"/>
        </w:rPr>
        <w:t xml:space="preserve"> Planning Scheme</w:t>
      </w:r>
      <w:r w:rsidRPr="00257FDF">
        <w:rPr>
          <w:lang w:eastAsia="en-AU"/>
        </w:rPr>
        <w:t xml:space="preserve">. </w:t>
      </w:r>
    </w:p>
    <w:p w:rsidR="00257FDF" w:rsidRPr="00257FDF" w:rsidRDefault="00257FDF" w:rsidP="00257FDF">
      <w:pPr>
        <w:pStyle w:val="Quote1"/>
        <w:rPr>
          <w:lang w:eastAsia="en-AU"/>
        </w:rPr>
      </w:pPr>
      <w:r w:rsidRPr="00257FDF">
        <w:rPr>
          <w:lang w:eastAsia="en-AU"/>
        </w:rPr>
        <w:t xml:space="preserve">As I observed at the hearing, the absence of demolition controls, the zoning of the land as GRZ1 rather than Neighbourhood Residential, the proximity to train station and shops, and the encouragement given to more intensive development in a Neighbourhood Centre, will eventually lead to a very different character for this area. </w:t>
      </w:r>
    </w:p>
    <w:p w:rsidR="00257FDF" w:rsidRPr="00257FDF" w:rsidRDefault="00257FDF" w:rsidP="00257FDF">
      <w:pPr>
        <w:pStyle w:val="Quote1"/>
        <w:rPr>
          <w:lang w:eastAsia="en-AU"/>
        </w:rPr>
      </w:pPr>
      <w:r w:rsidRPr="00257FDF">
        <w:rPr>
          <w:lang w:eastAsia="en-AU"/>
        </w:rPr>
        <w:t xml:space="preserve">Although townhouse developments of two and three double storey dwellings have started to appear in this area, the restrictions now in place over most of the municipality will act to focus more intensive </w:t>
      </w:r>
      <w:r w:rsidRPr="00257FDF">
        <w:rPr>
          <w:lang w:eastAsia="en-AU"/>
        </w:rPr>
        <w:lastRenderedPageBreak/>
        <w:t xml:space="preserve">development into areas such as this in McKinnon. It may not mean the whole street is filled with three storey apartment buildings but it almost certainly means that the existing single dwellings on a lot will be gradually replaced. It may take twenty or thirty years but, based on submissions and statements of grounds, </w:t>
      </w:r>
      <w:r w:rsidRPr="002048E0">
        <w:rPr>
          <w:highlight w:val="yellow"/>
          <w:lang w:eastAsia="en-AU"/>
        </w:rPr>
        <w:t xml:space="preserve">I am not sure that existing residents appreciate the changes that will occur in response to development outcomes sought by the Glen </w:t>
      </w:r>
      <w:proofErr w:type="spellStart"/>
      <w:r w:rsidRPr="002048E0">
        <w:rPr>
          <w:highlight w:val="yellow"/>
          <w:lang w:eastAsia="en-AU"/>
        </w:rPr>
        <w:t>Eira</w:t>
      </w:r>
      <w:proofErr w:type="spellEnd"/>
      <w:r w:rsidRPr="002048E0">
        <w:rPr>
          <w:highlight w:val="yellow"/>
          <w:lang w:eastAsia="en-AU"/>
        </w:rPr>
        <w:t xml:space="preserve"> Planning Scheme</w:t>
      </w:r>
      <w:r w:rsidRPr="00257FDF">
        <w:rPr>
          <w:lang w:eastAsia="en-AU"/>
        </w:rPr>
        <w:t>.</w:t>
      </w:r>
    </w:p>
    <w:p w:rsidR="00D74B44" w:rsidRPr="00AF10C5" w:rsidRDefault="00BB7BBE" w:rsidP="005860EE">
      <w:pPr>
        <w:pStyle w:val="Para1"/>
        <w:rPr>
          <w:highlight w:val="yellow"/>
          <w:lang w:eastAsia="en-AU"/>
        </w:rPr>
      </w:pPr>
      <w:r>
        <w:rPr>
          <w:lang w:eastAsia="en-AU"/>
        </w:rPr>
        <w:t xml:space="preserve">In this proceeding, Mr &amp; Mrs </w:t>
      </w:r>
      <w:proofErr w:type="spellStart"/>
      <w:r>
        <w:rPr>
          <w:lang w:eastAsia="en-AU"/>
        </w:rPr>
        <w:t>Menko</w:t>
      </w:r>
      <w:proofErr w:type="spellEnd"/>
      <w:r>
        <w:rPr>
          <w:lang w:eastAsia="en-AU"/>
        </w:rPr>
        <w:t xml:space="preserve"> lamented that most of the lots in Claire Street have now been purchased by developers, and are likely to be subject to forms of development like the one before me.  They resist this level of change, and the likelihood that only two of the original single dwellings will remain.  </w:t>
      </w:r>
      <w:r w:rsidRPr="00AF10C5">
        <w:rPr>
          <w:highlight w:val="yellow"/>
          <w:lang w:eastAsia="en-AU"/>
        </w:rPr>
        <w:t>They also raise concerns about how this extent of development can be suitable for a dead-end street, with its only access point to McKinnon Road, and limited on-street car parking supply</w:t>
      </w:r>
      <w:r w:rsidR="00572F41">
        <w:rPr>
          <w:lang w:eastAsia="en-AU"/>
        </w:rPr>
        <w:t>.  They also question the ability of McKinnon Road to accommodate the additional traffic</w:t>
      </w:r>
      <w:r>
        <w:rPr>
          <w:lang w:eastAsia="en-AU"/>
        </w:rPr>
        <w:t xml:space="preserve">.  I understand the frustrations and anger expressed by residents about the rate of change that might occur in Claire Street.  </w:t>
      </w:r>
      <w:r w:rsidRPr="00AF10C5">
        <w:rPr>
          <w:highlight w:val="yellow"/>
          <w:lang w:eastAsia="en-AU"/>
        </w:rPr>
        <w:t xml:space="preserve">However the extent of </w:t>
      </w:r>
      <w:r w:rsidR="00572F41" w:rsidRPr="00AF10C5">
        <w:rPr>
          <w:highlight w:val="yellow"/>
          <w:lang w:eastAsia="en-AU"/>
        </w:rPr>
        <w:t>re</w:t>
      </w:r>
      <w:r w:rsidRPr="00AF10C5">
        <w:rPr>
          <w:highlight w:val="yellow"/>
          <w:lang w:eastAsia="en-AU"/>
        </w:rPr>
        <w:t xml:space="preserve">development that is likely to occur </w:t>
      </w:r>
      <w:r w:rsidR="00572F41" w:rsidRPr="00AF10C5">
        <w:rPr>
          <w:highlight w:val="yellow"/>
          <w:lang w:eastAsia="en-AU"/>
        </w:rPr>
        <w:t xml:space="preserve">is a direct realisation of the very clear intent of the Glen </w:t>
      </w:r>
      <w:proofErr w:type="spellStart"/>
      <w:r w:rsidR="00572F41" w:rsidRPr="00AF10C5">
        <w:rPr>
          <w:highlight w:val="yellow"/>
          <w:lang w:eastAsia="en-AU"/>
        </w:rPr>
        <w:t>Eira</w:t>
      </w:r>
      <w:proofErr w:type="spellEnd"/>
      <w:r w:rsidR="00572F41" w:rsidRPr="00AF10C5">
        <w:rPr>
          <w:highlight w:val="yellow"/>
          <w:lang w:eastAsia="en-AU"/>
        </w:rPr>
        <w:t xml:space="preserve"> Planning Scheme</w:t>
      </w:r>
      <w:r w:rsidR="00D74B44" w:rsidRPr="00AF10C5">
        <w:rPr>
          <w:highlight w:val="yellow"/>
          <w:lang w:eastAsia="en-AU"/>
        </w:rPr>
        <w:t xml:space="preserve">, in particular the local policies created by the Glen </w:t>
      </w:r>
      <w:proofErr w:type="spellStart"/>
      <w:r w:rsidR="00D74B44" w:rsidRPr="00AF10C5">
        <w:rPr>
          <w:highlight w:val="yellow"/>
          <w:lang w:eastAsia="en-AU"/>
        </w:rPr>
        <w:t>Eira</w:t>
      </w:r>
      <w:proofErr w:type="spellEnd"/>
      <w:r w:rsidR="00D74B44" w:rsidRPr="00AF10C5">
        <w:rPr>
          <w:highlight w:val="yellow"/>
          <w:lang w:eastAsia="en-AU"/>
        </w:rPr>
        <w:t xml:space="preserve"> City Council</w:t>
      </w:r>
      <w:r w:rsidR="00572F41" w:rsidRPr="00AF10C5">
        <w:rPr>
          <w:highlight w:val="yellow"/>
          <w:lang w:eastAsia="en-AU"/>
        </w:rPr>
        <w:t xml:space="preserve">.  </w:t>
      </w:r>
    </w:p>
    <w:p w:rsidR="00BB7BBE" w:rsidRDefault="00572F41" w:rsidP="005860EE">
      <w:pPr>
        <w:pStyle w:val="Para1"/>
        <w:rPr>
          <w:lang w:eastAsia="en-AU"/>
        </w:rPr>
      </w:pPr>
      <w:r w:rsidRPr="00AF10C5">
        <w:rPr>
          <w:highlight w:val="yellow"/>
          <w:lang w:eastAsia="en-AU"/>
        </w:rPr>
        <w:t xml:space="preserve">That is, </w:t>
      </w:r>
      <w:r w:rsidR="00D74B44" w:rsidRPr="00AF10C5">
        <w:rPr>
          <w:highlight w:val="yellow"/>
          <w:lang w:eastAsia="en-AU"/>
        </w:rPr>
        <w:t xml:space="preserve">this form of development and rate of </w:t>
      </w:r>
      <w:proofErr w:type="gramStart"/>
      <w:r w:rsidR="00D74B44" w:rsidRPr="00AF10C5">
        <w:rPr>
          <w:highlight w:val="yellow"/>
          <w:lang w:eastAsia="en-AU"/>
        </w:rPr>
        <w:t>change,</w:t>
      </w:r>
      <w:proofErr w:type="gramEnd"/>
      <w:r w:rsidRPr="00AF10C5">
        <w:rPr>
          <w:highlight w:val="yellow"/>
          <w:lang w:eastAsia="en-AU"/>
        </w:rPr>
        <w:t xml:space="preserve"> is consistent with the planning scheme that I am charged to apply.  Further, it is not my role to review, on an ad-hoc basis, the suitability of this dead-end street to accommodate this level of change, nor the ability of McKinnon as a whole to accommodate additional population and traffic.  The Glen </w:t>
      </w:r>
      <w:proofErr w:type="spellStart"/>
      <w:r w:rsidRPr="00AF10C5">
        <w:rPr>
          <w:highlight w:val="yellow"/>
          <w:lang w:eastAsia="en-AU"/>
        </w:rPr>
        <w:t>Eira</w:t>
      </w:r>
      <w:proofErr w:type="spellEnd"/>
      <w:r w:rsidRPr="00AF10C5">
        <w:rPr>
          <w:highlight w:val="yellow"/>
          <w:lang w:eastAsia="en-AU"/>
        </w:rPr>
        <w:t xml:space="preserve"> City Council has had the opportunity to carefully consider such matters, over an extended period of time, and has identified Claire Street, McKinnon as an appropriate location for the placement of a housing diversity area, to take the additional housing demands of the municipality</w:t>
      </w:r>
      <w:r>
        <w:rPr>
          <w:lang w:eastAsia="en-AU"/>
        </w:rPr>
        <w:t>.</w:t>
      </w:r>
    </w:p>
    <w:p w:rsidR="005860EE" w:rsidRPr="00976D3C" w:rsidRDefault="005860EE" w:rsidP="005860EE">
      <w:pPr>
        <w:pStyle w:val="Para1"/>
        <w:rPr>
          <w:highlight w:val="yellow"/>
          <w:lang w:eastAsia="en-AU"/>
        </w:rPr>
      </w:pPr>
      <w:r w:rsidRPr="00AF10C5">
        <w:rPr>
          <w:highlight w:val="yellow"/>
          <w:lang w:eastAsia="en-AU"/>
        </w:rPr>
        <w:t xml:space="preserve">The Glen </w:t>
      </w:r>
      <w:proofErr w:type="spellStart"/>
      <w:r w:rsidRPr="00AF10C5">
        <w:rPr>
          <w:highlight w:val="yellow"/>
          <w:lang w:eastAsia="en-AU"/>
        </w:rPr>
        <w:t>Eira</w:t>
      </w:r>
      <w:proofErr w:type="spellEnd"/>
      <w:r w:rsidRPr="00AF10C5">
        <w:rPr>
          <w:highlight w:val="yellow"/>
          <w:lang w:eastAsia="en-AU"/>
        </w:rPr>
        <w:t xml:space="preserve"> Planning Scheme clearly supports substantial development in Claire Street, McKinnon</w:t>
      </w:r>
      <w:r>
        <w:rPr>
          <w:lang w:eastAsia="en-AU"/>
        </w:rPr>
        <w:t xml:space="preserve">.  This substantial development is not expected to imitate or reflect the style and form of the single dwellings that currently exist in this and other streets.  </w:t>
      </w:r>
      <w:r w:rsidRPr="00976D3C">
        <w:rPr>
          <w:highlight w:val="yellow"/>
          <w:lang w:eastAsia="en-AU"/>
        </w:rPr>
        <w:t xml:space="preserve">Instead, a policy intent has been clearly </w:t>
      </w:r>
      <w:r w:rsidR="00BB7BBE" w:rsidRPr="00976D3C">
        <w:rPr>
          <w:highlight w:val="yellow"/>
          <w:lang w:eastAsia="en-AU"/>
        </w:rPr>
        <w:t xml:space="preserve">been </w:t>
      </w:r>
      <w:r w:rsidRPr="00976D3C">
        <w:rPr>
          <w:highlight w:val="yellow"/>
          <w:lang w:eastAsia="en-AU"/>
        </w:rPr>
        <w:t>articulated for Claire Street</w:t>
      </w:r>
      <w:r w:rsidR="00BB7BBE" w:rsidRPr="00976D3C">
        <w:rPr>
          <w:highlight w:val="yellow"/>
          <w:lang w:eastAsia="en-AU"/>
        </w:rPr>
        <w:t xml:space="preserve">, by the Glen </w:t>
      </w:r>
      <w:proofErr w:type="spellStart"/>
      <w:r w:rsidR="00BB7BBE" w:rsidRPr="00976D3C">
        <w:rPr>
          <w:highlight w:val="yellow"/>
          <w:lang w:eastAsia="en-AU"/>
        </w:rPr>
        <w:t>Eira</w:t>
      </w:r>
      <w:proofErr w:type="spellEnd"/>
      <w:r w:rsidR="00BB7BBE" w:rsidRPr="00976D3C">
        <w:rPr>
          <w:highlight w:val="yellow"/>
          <w:lang w:eastAsia="en-AU"/>
        </w:rPr>
        <w:t xml:space="preserve"> City Council, </w:t>
      </w:r>
      <w:r w:rsidRPr="00976D3C">
        <w:rPr>
          <w:highlight w:val="yellow"/>
          <w:lang w:eastAsia="en-AU"/>
        </w:rPr>
        <w:t xml:space="preserve">that encourages more intense and more diverse housing forms.  Invariably this means that apartment buildings are strongly encouraged in this </w:t>
      </w:r>
      <w:r w:rsidR="00BB7BBE" w:rsidRPr="00976D3C">
        <w:rPr>
          <w:highlight w:val="yellow"/>
          <w:lang w:eastAsia="en-AU"/>
        </w:rPr>
        <w:t>neighbourhood</w:t>
      </w:r>
      <w:r w:rsidRPr="00976D3C">
        <w:rPr>
          <w:highlight w:val="yellow"/>
          <w:lang w:eastAsia="en-AU"/>
        </w:rPr>
        <w:t>.</w:t>
      </w:r>
    </w:p>
    <w:p w:rsidR="005860EE" w:rsidRDefault="005860EE" w:rsidP="005860EE">
      <w:pPr>
        <w:pStyle w:val="Para1"/>
        <w:rPr>
          <w:lang w:eastAsia="en-AU"/>
        </w:rPr>
      </w:pPr>
      <w:r>
        <w:rPr>
          <w:lang w:eastAsia="en-AU"/>
        </w:rPr>
        <w:t>That encouragement is not without its limits, however.  A hierarchy of preferred locations for more intense development is created in policy, which places residential areas such as Claire Street at the bottom rung of such opportunity areas.  Policy also seeks that locations such as this, closer to the fringe of the areas in which additional housing is strongly encouraged, are to be developed at lower densities than the central core of these areas.  Such policy intents are set ou</w:t>
      </w:r>
      <w:r w:rsidR="00033C8A">
        <w:rPr>
          <w:lang w:eastAsia="en-AU"/>
        </w:rPr>
        <w:t>t below:</w:t>
      </w:r>
    </w:p>
    <w:p w:rsidR="005860EE" w:rsidRDefault="009A6E85" w:rsidP="009A6E85">
      <w:pPr>
        <w:pStyle w:val="Quote1"/>
        <w:rPr>
          <w:lang w:eastAsia="en-AU"/>
        </w:rPr>
      </w:pPr>
      <w:r>
        <w:rPr>
          <w:lang w:eastAsia="en-AU"/>
        </w:rPr>
        <w:lastRenderedPageBreak/>
        <w:t>Recognise that these areas offer opportunities for multi-unit development, but at a lower scale and density than development in the commercial and mixed use areas of neighbourhood centres.</w:t>
      </w:r>
    </w:p>
    <w:p w:rsidR="009A6E85" w:rsidRDefault="009A6E85" w:rsidP="009A6E85">
      <w:pPr>
        <w:pStyle w:val="Quote1"/>
        <w:rPr>
          <w:lang w:eastAsia="en-AU"/>
        </w:rPr>
      </w:pPr>
      <w:r>
        <w:rPr>
          <w:lang w:eastAsia="en-AU"/>
        </w:rPr>
        <w:t>Encourage a decrease in the density of residential development as the proximity to the commercial area of the neighbourhood centre decreases.</w:t>
      </w:r>
      <w:r>
        <w:rPr>
          <w:rStyle w:val="FootnoteReference"/>
          <w:lang w:eastAsia="en-AU"/>
        </w:rPr>
        <w:footnoteReference w:id="10"/>
      </w:r>
    </w:p>
    <w:p w:rsidR="005860EE" w:rsidRDefault="005860EE" w:rsidP="005860EE">
      <w:pPr>
        <w:pStyle w:val="Para1"/>
        <w:rPr>
          <w:lang w:eastAsia="en-AU"/>
        </w:rPr>
      </w:pPr>
      <w:r>
        <w:rPr>
          <w:lang w:eastAsia="en-AU"/>
        </w:rPr>
        <w:t>Policy also seeks that new development respond to its context in the following ways:</w:t>
      </w:r>
    </w:p>
    <w:p w:rsidR="009A6E85" w:rsidRDefault="009A6E85" w:rsidP="009A6E85">
      <w:pPr>
        <w:pStyle w:val="Quote1"/>
        <w:rPr>
          <w:lang w:eastAsia="en-AU"/>
        </w:rPr>
      </w:pPr>
      <w:r>
        <w:rPr>
          <w:lang w:eastAsia="en-AU"/>
        </w:rPr>
        <w:t xml:space="preserve">Ensure that the density, mass and scale of residential development </w:t>
      </w:r>
      <w:proofErr w:type="gramStart"/>
      <w:r>
        <w:rPr>
          <w:lang w:eastAsia="en-AU"/>
        </w:rPr>
        <w:t>is</w:t>
      </w:r>
      <w:proofErr w:type="gramEnd"/>
      <w:r>
        <w:rPr>
          <w:lang w:eastAsia="en-AU"/>
        </w:rPr>
        <w:t xml:space="preserve"> appropriate to that of the neighbourhood centre.</w:t>
      </w:r>
    </w:p>
    <w:p w:rsidR="009A6E85" w:rsidRDefault="009A6E85" w:rsidP="009A6E85">
      <w:pPr>
        <w:pStyle w:val="Quote1"/>
        <w:rPr>
          <w:lang w:eastAsia="en-AU"/>
        </w:rPr>
      </w:pPr>
      <w:r>
        <w:rPr>
          <w:lang w:eastAsia="en-AU"/>
        </w:rPr>
        <w:t>Ensure that residential development is sited and designed so that it does not dominate the streetscape.</w:t>
      </w:r>
    </w:p>
    <w:p w:rsidR="005860EE" w:rsidRDefault="009A6E85" w:rsidP="009A6E85">
      <w:pPr>
        <w:pStyle w:val="Quote1"/>
        <w:rPr>
          <w:lang w:eastAsia="en-AU"/>
        </w:rPr>
      </w:pPr>
      <w:r>
        <w:rPr>
          <w:lang w:eastAsia="en-AU"/>
        </w:rPr>
        <w:t>Encourage the consolidation of sites to promote development opportunities.</w:t>
      </w:r>
      <w:r>
        <w:rPr>
          <w:rStyle w:val="FootnoteReference"/>
          <w:lang w:eastAsia="en-AU"/>
        </w:rPr>
        <w:footnoteReference w:id="11"/>
      </w:r>
    </w:p>
    <w:p w:rsidR="005860EE" w:rsidRDefault="005860EE" w:rsidP="005860EE">
      <w:pPr>
        <w:pStyle w:val="Para1"/>
        <w:rPr>
          <w:lang w:eastAsia="en-AU"/>
        </w:rPr>
      </w:pPr>
      <w:r w:rsidRPr="00976D3C">
        <w:rPr>
          <w:highlight w:val="yellow"/>
          <w:lang w:eastAsia="en-AU"/>
        </w:rPr>
        <w:t xml:space="preserve">It is clear, when taking into account the policy framework as whole, that apartment style development is the undeniable future for Claire Street, McKinnon, as clearly identified and articulated by the </w:t>
      </w:r>
      <w:r w:rsidR="00D74B44" w:rsidRPr="00976D3C">
        <w:rPr>
          <w:highlight w:val="yellow"/>
          <w:lang w:eastAsia="en-AU"/>
        </w:rPr>
        <w:t xml:space="preserve">local policies contained in the </w:t>
      </w:r>
      <w:r w:rsidRPr="00976D3C">
        <w:rPr>
          <w:highlight w:val="yellow"/>
          <w:lang w:eastAsia="en-AU"/>
        </w:rPr>
        <w:t xml:space="preserve">Glen </w:t>
      </w:r>
      <w:proofErr w:type="spellStart"/>
      <w:r w:rsidRPr="00976D3C">
        <w:rPr>
          <w:highlight w:val="yellow"/>
          <w:lang w:eastAsia="en-AU"/>
        </w:rPr>
        <w:t>Eira</w:t>
      </w:r>
      <w:proofErr w:type="spellEnd"/>
      <w:r w:rsidRPr="00976D3C">
        <w:rPr>
          <w:highlight w:val="yellow"/>
          <w:lang w:eastAsia="en-AU"/>
        </w:rPr>
        <w:t xml:space="preserve"> Planning Scheme, as drafted by the Glen </w:t>
      </w:r>
      <w:proofErr w:type="spellStart"/>
      <w:r w:rsidRPr="00976D3C">
        <w:rPr>
          <w:highlight w:val="yellow"/>
          <w:lang w:eastAsia="en-AU"/>
        </w:rPr>
        <w:t>Eira</w:t>
      </w:r>
      <w:proofErr w:type="spellEnd"/>
      <w:r w:rsidRPr="00976D3C">
        <w:rPr>
          <w:highlight w:val="yellow"/>
          <w:lang w:eastAsia="en-AU"/>
        </w:rPr>
        <w:t xml:space="preserve"> City Council</w:t>
      </w:r>
      <w:r>
        <w:rPr>
          <w:lang w:eastAsia="en-AU"/>
        </w:rPr>
        <w:t xml:space="preserve">.  My task, which follows, is to consider whether this apartment development is an appropriate response to the opportunity provided by the review site, and the policy guidance </w:t>
      </w:r>
      <w:r w:rsidR="00BB7BBE">
        <w:rPr>
          <w:lang w:eastAsia="en-AU"/>
        </w:rPr>
        <w:t xml:space="preserve">that </w:t>
      </w:r>
      <w:r>
        <w:rPr>
          <w:lang w:eastAsia="en-AU"/>
        </w:rPr>
        <w:t>I have already identified.</w:t>
      </w:r>
    </w:p>
    <w:p w:rsidR="00232FE0" w:rsidRDefault="00232FE0" w:rsidP="00232FE0">
      <w:pPr>
        <w:pStyle w:val="Heading2"/>
      </w:pPr>
      <w:r>
        <w:t>Is the proposal an appropriate response to the preferred neighbourhood character?</w:t>
      </w:r>
    </w:p>
    <w:p w:rsidR="005860EE" w:rsidRDefault="005860EE" w:rsidP="005860EE">
      <w:pPr>
        <w:pStyle w:val="Para1"/>
        <w:rPr>
          <w:lang w:eastAsia="en-AU"/>
        </w:rPr>
      </w:pPr>
      <w:r>
        <w:rPr>
          <w:lang w:eastAsia="en-AU"/>
        </w:rPr>
        <w:t xml:space="preserve">In the proceeding analysis I have identified that there is strong policy support at both a State and local level for the development of apartment style buildings in Claire Street, McKinnon.  However that support is qualified, and seeks new development to achieve a successful integration into its context, and a decreasing level of intensity in this location closer to the edge of the McKinnon housing diversity area, rather than its core. </w:t>
      </w:r>
    </w:p>
    <w:p w:rsidR="00D03680" w:rsidRDefault="005860EE" w:rsidP="005860EE">
      <w:pPr>
        <w:pStyle w:val="Para1"/>
        <w:rPr>
          <w:lang w:eastAsia="en-AU"/>
        </w:rPr>
      </w:pPr>
      <w:r>
        <w:rPr>
          <w:lang w:eastAsia="en-AU"/>
        </w:rPr>
        <w:t xml:space="preserve">The Council in its grounds of refusal and submission outlined a number of concerns with how this particular proposal responds to its expectations, as expressed through the Glen </w:t>
      </w:r>
      <w:proofErr w:type="spellStart"/>
      <w:r>
        <w:rPr>
          <w:lang w:eastAsia="en-AU"/>
        </w:rPr>
        <w:t>Eira</w:t>
      </w:r>
      <w:proofErr w:type="spellEnd"/>
      <w:r>
        <w:rPr>
          <w:lang w:eastAsia="en-AU"/>
        </w:rPr>
        <w:t xml:space="preserve"> Planning Scheme.  </w:t>
      </w:r>
      <w:r w:rsidRPr="00737D53">
        <w:rPr>
          <w:highlight w:val="yellow"/>
          <w:lang w:eastAsia="en-AU"/>
        </w:rPr>
        <w:t>These include the front setback of the building, the location of private open space within the front setback, the overall scale of the building, and the width of some of the ground level areas of secluded private open space.</w:t>
      </w:r>
      <w:r>
        <w:rPr>
          <w:lang w:eastAsia="en-AU"/>
        </w:rPr>
        <w:t xml:space="preserve">  </w:t>
      </w:r>
    </w:p>
    <w:p w:rsidR="005860EE" w:rsidRDefault="005860EE" w:rsidP="005860EE">
      <w:pPr>
        <w:pStyle w:val="Para1"/>
        <w:rPr>
          <w:lang w:eastAsia="en-AU"/>
        </w:rPr>
      </w:pPr>
      <w:r>
        <w:rPr>
          <w:lang w:eastAsia="en-AU"/>
        </w:rPr>
        <w:t xml:space="preserve">In response, Mr </w:t>
      </w:r>
      <w:proofErr w:type="spellStart"/>
      <w:r>
        <w:rPr>
          <w:lang w:eastAsia="en-AU"/>
        </w:rPr>
        <w:t>Bisset</w:t>
      </w:r>
      <w:proofErr w:type="spellEnd"/>
      <w:r>
        <w:rPr>
          <w:lang w:eastAsia="en-AU"/>
        </w:rPr>
        <w:t xml:space="preserve"> for the Applicant submitted that the proposal </w:t>
      </w:r>
      <w:r w:rsidR="00D74B44">
        <w:rPr>
          <w:lang w:eastAsia="en-AU"/>
        </w:rPr>
        <w:t>is</w:t>
      </w:r>
      <w:r>
        <w:rPr>
          <w:lang w:eastAsia="en-AU"/>
        </w:rPr>
        <w:t xml:space="preserve"> an appropriate and reasonable response to the expectations created for this locality.   </w:t>
      </w:r>
      <w:r w:rsidR="00D03680">
        <w:rPr>
          <w:lang w:eastAsia="en-AU"/>
        </w:rPr>
        <w:t xml:space="preserve">He defended the front setback and the treatment of the front yard </w:t>
      </w:r>
      <w:r w:rsidR="00D03680">
        <w:rPr>
          <w:lang w:eastAsia="en-AU"/>
        </w:rPr>
        <w:lastRenderedPageBreak/>
        <w:t xml:space="preserve">as an appropriate departure from the surrounding character, given the significant levels of change anticipated in Claire Street.  He also submitted that the extent of built form proposed for the review site </w:t>
      </w:r>
      <w:r w:rsidR="00D74B44">
        <w:rPr>
          <w:lang w:eastAsia="en-AU"/>
        </w:rPr>
        <w:t>is</w:t>
      </w:r>
      <w:r w:rsidR="00D03680">
        <w:rPr>
          <w:lang w:eastAsia="en-AU"/>
        </w:rPr>
        <w:t xml:space="preserve"> a measured response to the policy intent for this housing diversity area, and noted that the review site </w:t>
      </w:r>
      <w:r w:rsidR="00D74B44">
        <w:rPr>
          <w:lang w:eastAsia="en-AU"/>
        </w:rPr>
        <w:t>is</w:t>
      </w:r>
      <w:r w:rsidR="00D03680">
        <w:rPr>
          <w:lang w:eastAsia="en-AU"/>
        </w:rPr>
        <w:t xml:space="preserve"> surrounded by land also identified as a housing diversity area, and therefore subject to similar development potential.</w:t>
      </w:r>
    </w:p>
    <w:p w:rsidR="00D03680" w:rsidRDefault="00D03680" w:rsidP="005860EE">
      <w:pPr>
        <w:pStyle w:val="Para1"/>
        <w:rPr>
          <w:lang w:eastAsia="en-AU"/>
        </w:rPr>
      </w:pPr>
      <w:r>
        <w:rPr>
          <w:lang w:eastAsia="en-AU"/>
        </w:rPr>
        <w:t xml:space="preserve">Finally, Mr </w:t>
      </w:r>
      <w:proofErr w:type="spellStart"/>
      <w:r>
        <w:rPr>
          <w:lang w:eastAsia="en-AU"/>
        </w:rPr>
        <w:t>Bisset</w:t>
      </w:r>
      <w:proofErr w:type="spellEnd"/>
      <w:r>
        <w:rPr>
          <w:lang w:eastAsia="en-AU"/>
        </w:rPr>
        <w:t xml:space="preserve"> also drew my attention to a number of other approvals for two and three storey developments in other housing diversity areas, and in other parts of McKinnon.  In particular I was advised of a number of approvals and developments in McKinnon Road, Lees Street and Bent Street.  In the course of my considerations I have visited the developments where constructed, and read the decisions for the other approvals.  While I appreciate that many of them involve developments similar to that before me, none are consistent on all aspects, and all have a context that varies in one way or another to the one that I find in Claire Street.  In the end, while the previous decisions and approvals are </w:t>
      </w:r>
      <w:r w:rsidR="00D74B44">
        <w:rPr>
          <w:lang w:eastAsia="en-AU"/>
        </w:rPr>
        <w:t>informative</w:t>
      </w:r>
      <w:r>
        <w:rPr>
          <w:lang w:eastAsia="en-AU"/>
        </w:rPr>
        <w:t xml:space="preserve">, they do </w:t>
      </w:r>
      <w:r w:rsidRPr="00572F41">
        <w:rPr>
          <w:lang w:eastAsia="en-AU"/>
        </w:rPr>
        <w:t xml:space="preserve">not </w:t>
      </w:r>
      <w:r w:rsidR="00200D05" w:rsidRPr="00572F41">
        <w:rPr>
          <w:lang w:eastAsia="en-AU"/>
        </w:rPr>
        <w:t>dictate</w:t>
      </w:r>
      <w:r w:rsidR="00572F41">
        <w:rPr>
          <w:lang w:eastAsia="en-AU"/>
        </w:rPr>
        <w:t xml:space="preserve"> or favour</w:t>
      </w:r>
      <w:r w:rsidR="00200D05">
        <w:rPr>
          <w:lang w:eastAsia="en-AU"/>
        </w:rPr>
        <w:t xml:space="preserve"> a</w:t>
      </w:r>
      <w:r w:rsidR="00572F41">
        <w:rPr>
          <w:lang w:eastAsia="en-AU"/>
        </w:rPr>
        <w:t xml:space="preserve"> particular</w:t>
      </w:r>
      <w:r w:rsidR="00200D05">
        <w:rPr>
          <w:lang w:eastAsia="en-AU"/>
        </w:rPr>
        <w:t xml:space="preserve"> outcome in this proceeding.</w:t>
      </w:r>
    </w:p>
    <w:p w:rsidR="005860EE" w:rsidRPr="006B770E" w:rsidRDefault="008E7EB6" w:rsidP="005860EE">
      <w:pPr>
        <w:pStyle w:val="Para1"/>
        <w:rPr>
          <w:highlight w:val="yellow"/>
          <w:lang w:eastAsia="en-AU"/>
        </w:rPr>
      </w:pPr>
      <w:r>
        <w:rPr>
          <w:lang w:eastAsia="en-AU"/>
        </w:rPr>
        <w:t xml:space="preserve">Ultimately </w:t>
      </w:r>
      <w:r w:rsidR="005860EE">
        <w:rPr>
          <w:lang w:eastAsia="en-AU"/>
        </w:rPr>
        <w:t xml:space="preserve">I have been persuaded by the Council's submissions, and find that this is a building that seeks to achieve too much built form for the review site, for the following reasons.  </w:t>
      </w:r>
      <w:r w:rsidR="00572F41" w:rsidRPr="006B770E">
        <w:rPr>
          <w:highlight w:val="yellow"/>
          <w:lang w:eastAsia="en-AU"/>
        </w:rPr>
        <w:t>Principally, t</w:t>
      </w:r>
      <w:r w:rsidR="005860EE" w:rsidRPr="006B770E">
        <w:rPr>
          <w:highlight w:val="yellow"/>
          <w:lang w:eastAsia="en-AU"/>
        </w:rPr>
        <w:t xml:space="preserve">he effect of the overambitious scale of the </w:t>
      </w:r>
      <w:r w:rsidR="00572F41" w:rsidRPr="006B770E">
        <w:rPr>
          <w:highlight w:val="yellow"/>
          <w:lang w:eastAsia="en-AU"/>
        </w:rPr>
        <w:t xml:space="preserve">proposed development </w:t>
      </w:r>
      <w:r w:rsidR="005860EE" w:rsidRPr="006B770E">
        <w:rPr>
          <w:highlight w:val="yellow"/>
          <w:lang w:eastAsia="en-AU"/>
        </w:rPr>
        <w:t xml:space="preserve">can be seen in the elements of the building that were criticised by council.  The proposed development is to have front setbacks ranging from 4.6 metres to </w:t>
      </w:r>
      <w:r w:rsidR="009A6E85" w:rsidRPr="006B770E">
        <w:rPr>
          <w:highlight w:val="yellow"/>
          <w:lang w:eastAsia="en-AU"/>
        </w:rPr>
        <w:t>7.0 metres</w:t>
      </w:r>
      <w:r w:rsidR="005860EE" w:rsidRPr="006B770E">
        <w:rPr>
          <w:highlight w:val="yellow"/>
          <w:lang w:eastAsia="en-AU"/>
        </w:rPr>
        <w:t xml:space="preserve"> </w:t>
      </w:r>
      <w:proofErr w:type="spellStart"/>
      <w:r w:rsidR="005860EE" w:rsidRPr="006B770E">
        <w:rPr>
          <w:highlight w:val="yellow"/>
          <w:lang w:eastAsia="en-AU"/>
        </w:rPr>
        <w:t>metres</w:t>
      </w:r>
      <w:proofErr w:type="spellEnd"/>
      <w:r w:rsidR="005860EE" w:rsidRPr="006B770E">
        <w:rPr>
          <w:highlight w:val="yellow"/>
          <w:lang w:eastAsia="en-AU"/>
        </w:rPr>
        <w:t>.  This is to sit alongside existing dwellings with setbacks of 5.5 and 7.</w:t>
      </w:r>
      <w:r w:rsidR="009A6E85" w:rsidRPr="006B770E">
        <w:rPr>
          <w:highlight w:val="yellow"/>
          <w:lang w:eastAsia="en-AU"/>
        </w:rPr>
        <w:t>7</w:t>
      </w:r>
      <w:r w:rsidR="005860EE" w:rsidRPr="006B770E">
        <w:rPr>
          <w:highlight w:val="yellow"/>
          <w:lang w:eastAsia="en-AU"/>
        </w:rPr>
        <w:t xml:space="preserve"> metres respectively, and in a streetscape where the prevailing front setback is in the order of 7.0 to </w:t>
      </w:r>
      <w:r w:rsidR="00CB172F" w:rsidRPr="006B770E">
        <w:rPr>
          <w:highlight w:val="yellow"/>
          <w:lang w:eastAsia="en-AU"/>
        </w:rPr>
        <w:t>9.0</w:t>
      </w:r>
      <w:r w:rsidR="005860EE" w:rsidRPr="006B770E">
        <w:rPr>
          <w:highlight w:val="yellow"/>
          <w:lang w:eastAsia="en-AU"/>
        </w:rPr>
        <w:t xml:space="preserve"> metres.  </w:t>
      </w:r>
    </w:p>
    <w:p w:rsidR="005860EE" w:rsidRDefault="005860EE" w:rsidP="005860EE">
      <w:pPr>
        <w:pStyle w:val="Para1"/>
        <w:rPr>
          <w:lang w:eastAsia="en-AU"/>
        </w:rPr>
      </w:pPr>
      <w:r>
        <w:rPr>
          <w:lang w:eastAsia="en-AU"/>
        </w:rPr>
        <w:t xml:space="preserve">I accept the submissions of Mr </w:t>
      </w:r>
      <w:proofErr w:type="spellStart"/>
      <w:r>
        <w:rPr>
          <w:lang w:eastAsia="en-AU"/>
        </w:rPr>
        <w:t>Bisset</w:t>
      </w:r>
      <w:proofErr w:type="spellEnd"/>
      <w:r>
        <w:rPr>
          <w:lang w:eastAsia="en-AU"/>
        </w:rPr>
        <w:t xml:space="preserve"> that as this street becomes more completely redeveloped in the </w:t>
      </w:r>
      <w:r w:rsidR="006206D5">
        <w:rPr>
          <w:lang w:eastAsia="en-AU"/>
        </w:rPr>
        <w:t xml:space="preserve">medium to </w:t>
      </w:r>
      <w:r>
        <w:rPr>
          <w:lang w:eastAsia="en-AU"/>
        </w:rPr>
        <w:t xml:space="preserve">long term, the pattern of existing front setbacks will become less relevant.  </w:t>
      </w:r>
      <w:r w:rsidRPr="0051055D">
        <w:rPr>
          <w:highlight w:val="yellow"/>
          <w:lang w:eastAsia="en-AU"/>
        </w:rPr>
        <w:t xml:space="preserve">However this building, </w:t>
      </w:r>
      <w:r w:rsidR="006206D5" w:rsidRPr="0051055D">
        <w:rPr>
          <w:highlight w:val="yellow"/>
          <w:lang w:eastAsia="en-AU"/>
        </w:rPr>
        <w:t>i</w:t>
      </w:r>
      <w:r w:rsidRPr="0051055D">
        <w:rPr>
          <w:highlight w:val="yellow"/>
          <w:lang w:eastAsia="en-AU"/>
        </w:rPr>
        <w:t>f built, will be read in the context of the setbacks of the two adjoining dwellings, and may continue to do so for many years</w:t>
      </w:r>
      <w:r w:rsidR="006206D5" w:rsidRPr="0051055D">
        <w:rPr>
          <w:highlight w:val="yellow"/>
          <w:lang w:eastAsia="en-AU"/>
        </w:rPr>
        <w:t xml:space="preserve"> to come</w:t>
      </w:r>
      <w:r w:rsidRPr="0051055D">
        <w:rPr>
          <w:highlight w:val="yellow"/>
          <w:lang w:eastAsia="en-AU"/>
        </w:rPr>
        <w:t>.  I am not satisfied that an appropriate approach is to disregard the existing front setbacks on adjoining properties to the extent proposed on the review site.</w:t>
      </w:r>
      <w:r>
        <w:rPr>
          <w:lang w:eastAsia="en-AU"/>
        </w:rPr>
        <w:t xml:space="preserve">  This is particularly the case with a three storey apartment building, where the reduced front setbacks are to a built form of significant scale.</w:t>
      </w:r>
    </w:p>
    <w:p w:rsidR="005860EE" w:rsidRPr="0051055D" w:rsidRDefault="005860EE" w:rsidP="005860EE">
      <w:pPr>
        <w:pStyle w:val="Para1"/>
        <w:rPr>
          <w:highlight w:val="yellow"/>
          <w:lang w:eastAsia="en-AU"/>
        </w:rPr>
      </w:pPr>
      <w:r>
        <w:rPr>
          <w:lang w:eastAsia="en-AU"/>
        </w:rPr>
        <w:t xml:space="preserve">I am also not persuaded that the proposed treatment of the front setback is appropriate for this quiet residential street.  The plans that were substituted at the commencement of the hearing show the entire front setback </w:t>
      </w:r>
      <w:proofErr w:type="gramStart"/>
      <w:r>
        <w:rPr>
          <w:lang w:eastAsia="en-AU"/>
        </w:rPr>
        <w:t>area,</w:t>
      </w:r>
      <w:proofErr w:type="gramEnd"/>
      <w:r>
        <w:rPr>
          <w:lang w:eastAsia="en-AU"/>
        </w:rPr>
        <w:t xml:space="preserve"> save for the driveway, electrical substation and pedestrian entrance, fenced in as secluded private open space.  </w:t>
      </w:r>
      <w:r w:rsidRPr="0051055D">
        <w:rPr>
          <w:highlight w:val="yellow"/>
          <w:lang w:eastAsia="en-AU"/>
        </w:rPr>
        <w:t xml:space="preserve">While the landscape plan presented by Mr </w:t>
      </w:r>
      <w:proofErr w:type="spellStart"/>
      <w:r w:rsidRPr="0051055D">
        <w:rPr>
          <w:highlight w:val="yellow"/>
          <w:lang w:eastAsia="en-AU"/>
        </w:rPr>
        <w:t>McFall</w:t>
      </w:r>
      <w:proofErr w:type="spellEnd"/>
      <w:r w:rsidRPr="0051055D">
        <w:rPr>
          <w:highlight w:val="yellow"/>
          <w:lang w:eastAsia="en-AU"/>
        </w:rPr>
        <w:t xml:space="preserve"> propose</w:t>
      </w:r>
      <w:r w:rsidR="006206D5" w:rsidRPr="0051055D">
        <w:rPr>
          <w:highlight w:val="yellow"/>
          <w:lang w:eastAsia="en-AU"/>
        </w:rPr>
        <w:t>s</w:t>
      </w:r>
      <w:r w:rsidRPr="0051055D">
        <w:rPr>
          <w:highlight w:val="yellow"/>
          <w:lang w:eastAsia="en-AU"/>
        </w:rPr>
        <w:t xml:space="preserve"> some small areas of landscaping in front of some sections of brick walls, in truth this plan did not reduce significantly the proportion of the front yard that is proposed to be fenced off from the public realm.  </w:t>
      </w:r>
    </w:p>
    <w:p w:rsidR="005860EE" w:rsidRDefault="005860EE" w:rsidP="005860EE">
      <w:pPr>
        <w:pStyle w:val="Para1"/>
        <w:rPr>
          <w:lang w:eastAsia="en-AU"/>
        </w:rPr>
      </w:pPr>
      <w:r>
        <w:rPr>
          <w:lang w:eastAsia="en-AU"/>
        </w:rPr>
        <w:lastRenderedPageBreak/>
        <w:t>I accept that the ground level apartments need to have their private open space areas in the front yard, and that the proposal that is before me may be an appropriate design approach on a busy arterial road</w:t>
      </w:r>
      <w:r w:rsidRPr="00175711">
        <w:rPr>
          <w:highlight w:val="yellow"/>
          <w:lang w:eastAsia="en-AU"/>
        </w:rPr>
        <w:t>.  However, on a quiet residential street such as Claire Street, where properties are characterised by open front yards, a more balanced presentation of open front gardens and private areas is expected.</w:t>
      </w:r>
      <w:r>
        <w:rPr>
          <w:lang w:eastAsia="en-AU"/>
        </w:rPr>
        <w:t xml:space="preserve">  </w:t>
      </w:r>
      <w:r w:rsidR="006206D5">
        <w:rPr>
          <w:lang w:eastAsia="en-AU"/>
        </w:rPr>
        <w:t xml:space="preserve">Having regard to these concerns, </w:t>
      </w:r>
      <w:r>
        <w:rPr>
          <w:lang w:eastAsia="en-AU"/>
        </w:rPr>
        <w:t>I am not persuaded that the presentation of this development to Claire Street as a whole is appropriately responsive to its context, and instead will present with a significant scale and extent of building form that is unable to be appropriately softened by open front landscaping.</w:t>
      </w:r>
      <w:r w:rsidR="00D74B44">
        <w:rPr>
          <w:lang w:eastAsia="en-AU"/>
        </w:rPr>
        <w:t xml:space="preserve">  I find that this proposal does not achieve policy where it seeks to:</w:t>
      </w:r>
    </w:p>
    <w:p w:rsidR="00D74B44" w:rsidRDefault="00D74B44" w:rsidP="00D74B44">
      <w:pPr>
        <w:pStyle w:val="Quote1"/>
        <w:rPr>
          <w:lang w:eastAsia="en-AU"/>
        </w:rPr>
      </w:pPr>
      <w:r>
        <w:rPr>
          <w:lang w:eastAsia="en-AU"/>
        </w:rPr>
        <w:t>Ensure that residential development is sited and designed so that it does not dominate the streetscape.</w:t>
      </w:r>
      <w:r>
        <w:rPr>
          <w:rStyle w:val="FootnoteReference"/>
          <w:lang w:eastAsia="en-AU"/>
        </w:rPr>
        <w:footnoteReference w:id="12"/>
      </w:r>
    </w:p>
    <w:p w:rsidR="005860EE" w:rsidRPr="00175711" w:rsidRDefault="005860EE" w:rsidP="005860EE">
      <w:pPr>
        <w:pStyle w:val="Para1"/>
        <w:rPr>
          <w:highlight w:val="yellow"/>
          <w:lang w:eastAsia="en-AU"/>
        </w:rPr>
      </w:pPr>
      <w:r w:rsidRPr="00175711">
        <w:rPr>
          <w:highlight w:val="yellow"/>
          <w:lang w:eastAsia="en-AU"/>
        </w:rPr>
        <w:t>I also share the concerns expressed by Council regarding the size of some areas of secluded private open space.</w:t>
      </w:r>
      <w:r w:rsidR="00CB172F" w:rsidRPr="00175711">
        <w:rPr>
          <w:highlight w:val="yellow"/>
          <w:lang w:eastAsia="en-AU"/>
        </w:rPr>
        <w:t xml:space="preserve">  As an example, Apartment G.09 is a spacious three bedroom apartment with a floor area of 110 square metres.  However its main living area opens out to an area of secluded private open space </w:t>
      </w:r>
      <w:r w:rsidR="00D03680" w:rsidRPr="00175711">
        <w:rPr>
          <w:highlight w:val="yellow"/>
          <w:lang w:eastAsia="en-AU"/>
        </w:rPr>
        <w:t xml:space="preserve">(SPOS) </w:t>
      </w:r>
      <w:r w:rsidR="00CB172F" w:rsidRPr="00175711">
        <w:rPr>
          <w:highlight w:val="yellow"/>
          <w:lang w:eastAsia="en-AU"/>
        </w:rPr>
        <w:t>with a width of between 2.2 and 2.5 metres.  While 84 square metres of secluded private open space is to be provided to this apartment, located at the south-eastern corner of the proposed building, the dimensions of this space are mostly below that set out in Standard B</w:t>
      </w:r>
      <w:r w:rsidR="00D03680" w:rsidRPr="00175711">
        <w:rPr>
          <w:highlight w:val="yellow"/>
          <w:lang w:eastAsia="en-AU"/>
        </w:rPr>
        <w:t>28.</w:t>
      </w:r>
      <w:r w:rsidR="00D03680" w:rsidRPr="00175711">
        <w:rPr>
          <w:rStyle w:val="FootnoteReference"/>
          <w:highlight w:val="yellow"/>
          <w:lang w:eastAsia="en-AU"/>
        </w:rPr>
        <w:footnoteReference w:id="13"/>
      </w:r>
      <w:r w:rsidR="00D03680" w:rsidRPr="00175711">
        <w:rPr>
          <w:highlight w:val="yellow"/>
          <w:lang w:eastAsia="en-AU"/>
        </w:rPr>
        <w:t xml:space="preserve">  </w:t>
      </w:r>
    </w:p>
    <w:p w:rsidR="00D03680" w:rsidRPr="006776A2" w:rsidRDefault="00D03680" w:rsidP="005860EE">
      <w:pPr>
        <w:pStyle w:val="Para1"/>
        <w:rPr>
          <w:highlight w:val="yellow"/>
          <w:lang w:eastAsia="en-AU"/>
        </w:rPr>
      </w:pPr>
      <w:r w:rsidRPr="006776A2">
        <w:rPr>
          <w:highlight w:val="yellow"/>
          <w:lang w:eastAsia="en-AU"/>
        </w:rPr>
        <w:t>While I do not hold firm that the requirements of Standard B28 should be applied to every apartment, I am concerned as to the suitability of having an area of SPOS with a width of between 2.2 and 2.5 metres serv</w:t>
      </w:r>
      <w:r w:rsidR="006206D5" w:rsidRPr="006776A2">
        <w:rPr>
          <w:highlight w:val="yellow"/>
          <w:lang w:eastAsia="en-AU"/>
        </w:rPr>
        <w:t>ing</w:t>
      </w:r>
      <w:r w:rsidRPr="006776A2">
        <w:rPr>
          <w:highlight w:val="yellow"/>
          <w:lang w:eastAsia="en-AU"/>
        </w:rPr>
        <w:t xml:space="preserve"> a large 3 bedroom apartment</w:t>
      </w:r>
      <w:r>
        <w:rPr>
          <w:lang w:eastAsia="en-AU"/>
        </w:rPr>
        <w:t>.  Also, while the Applicant demonstrated via a photo of an existing development that such a space can comfortabl</w:t>
      </w:r>
      <w:r w:rsidR="006206D5">
        <w:rPr>
          <w:lang w:eastAsia="en-AU"/>
        </w:rPr>
        <w:t>y</w:t>
      </w:r>
      <w:r>
        <w:rPr>
          <w:lang w:eastAsia="en-AU"/>
        </w:rPr>
        <w:t xml:space="preserve"> fit an outside table and chairs, </w:t>
      </w:r>
      <w:r w:rsidRPr="006776A2">
        <w:rPr>
          <w:highlight w:val="yellow"/>
          <w:lang w:eastAsia="en-AU"/>
        </w:rPr>
        <w:t>I consider that the SPOS for a large 3 bedroom apartment needs to be more flexible than that to provide for the reasonable recreation needs of its residents</w:t>
      </w:r>
      <w:r>
        <w:rPr>
          <w:lang w:eastAsia="en-AU"/>
        </w:rPr>
        <w:t xml:space="preserve">.  The concerns I hold regarding the adequacy of the dimensions of the SPOS for Apartment G09 equally apply to G05, and the two bedroom apartments at G03 and G11.  In each of these examples, the </w:t>
      </w:r>
      <w:r w:rsidRPr="006776A2">
        <w:rPr>
          <w:highlight w:val="yellow"/>
          <w:lang w:eastAsia="en-AU"/>
        </w:rPr>
        <w:t>area of SPOS adjacent to the main living area should be a minimum of 3 metres in width.</w:t>
      </w:r>
    </w:p>
    <w:p w:rsidR="005860EE" w:rsidRDefault="005860EE" w:rsidP="005860EE">
      <w:pPr>
        <w:pStyle w:val="Para1"/>
      </w:pPr>
      <w:r w:rsidRPr="005860EE">
        <w:t>Finally, I also share some of the residents</w:t>
      </w:r>
      <w:r w:rsidR="006206D5">
        <w:t>’</w:t>
      </w:r>
      <w:r w:rsidRPr="005860EE">
        <w:t xml:space="preserve"> concerns regarding the extent of built form that will be visible from their rear yards.  In particular, I find that the extent of built form that will be visible from the adjoining properties to the east to be unreasonable.  </w:t>
      </w:r>
      <w:r w:rsidRPr="00D76CE3">
        <w:rPr>
          <w:highlight w:val="yellow"/>
        </w:rPr>
        <w:t>I need to be careful with my words here so as not to create unreasonable expectations in the mind of nearby residents.  This is an area clearly identified for apartment style development, and inevitably that will mean that bigger buildings will be highly visible from surrounding land at relatively close proximity</w:t>
      </w:r>
      <w:r w:rsidRPr="005860EE">
        <w:t>.</w:t>
      </w:r>
    </w:p>
    <w:p w:rsidR="00033C8A" w:rsidRDefault="00033C8A" w:rsidP="005860EE">
      <w:pPr>
        <w:pStyle w:val="Para1"/>
      </w:pPr>
      <w:r>
        <w:lastRenderedPageBreak/>
        <w:t xml:space="preserve">The Architect for this project has sought to employ measures to reduce the visual impact from adjoining residential properties at the rear.  Firstly, where </w:t>
      </w:r>
      <w:proofErr w:type="spellStart"/>
      <w:r>
        <w:t>ResCode</w:t>
      </w:r>
      <w:proofErr w:type="spellEnd"/>
      <w:r>
        <w:t xml:space="preserve"> would allow ground floor walls to be built to the boundary, first floors to be setback around 2.0 metres and second floors around 4.1 metres, the proposed development adopts the following range of setbacks from the rear (eastern) boundary:</w:t>
      </w:r>
    </w:p>
    <w:p w:rsidR="00033C8A" w:rsidRDefault="00033C8A" w:rsidP="00033C8A">
      <w:pPr>
        <w:pStyle w:val="Para1"/>
        <w:numPr>
          <w:ilvl w:val="1"/>
          <w:numId w:val="10"/>
        </w:numPr>
      </w:pPr>
      <w:r>
        <w:t>Ground floor: 2.5 to 4.3 metres;</w:t>
      </w:r>
    </w:p>
    <w:p w:rsidR="00033C8A" w:rsidRDefault="00033C8A" w:rsidP="00033C8A">
      <w:pPr>
        <w:pStyle w:val="Para1"/>
        <w:numPr>
          <w:ilvl w:val="1"/>
          <w:numId w:val="10"/>
        </w:numPr>
      </w:pPr>
      <w:r>
        <w:t>First floor: 3.5 to 6.0 metres;</w:t>
      </w:r>
    </w:p>
    <w:p w:rsidR="00033C8A" w:rsidRPr="005860EE" w:rsidRDefault="00033C8A" w:rsidP="00033C8A">
      <w:pPr>
        <w:pStyle w:val="Para1"/>
        <w:numPr>
          <w:ilvl w:val="1"/>
          <w:numId w:val="10"/>
        </w:numPr>
      </w:pPr>
      <w:r>
        <w:t>Second floor: 6.0 to 7.6 metres.</w:t>
      </w:r>
    </w:p>
    <w:p w:rsidR="00232FE0" w:rsidRDefault="00033C8A">
      <w:pPr>
        <w:pStyle w:val="Para1"/>
      </w:pPr>
      <w:r>
        <w:t xml:space="preserve">Secondly, the apartment building is excavated below natural ground level to the rear boundary, such that the ground floor level will be around 1.3 metres below natural ground level, and the ceiling height of the ground floor apartments will be roughly matching the standard fence height on the boundary.  Thirdly, the Architect has employed a range of design techniques to reduce the apparent scale of the development, including the use of a range of setbacks, materials, windows and balconies to articulate the eastern elevation, and a lighter </w:t>
      </w:r>
      <w:proofErr w:type="spellStart"/>
      <w:r>
        <w:t>color</w:t>
      </w:r>
      <w:proofErr w:type="spellEnd"/>
      <w:r>
        <w:t xml:space="preserve"> to make the top </w:t>
      </w:r>
      <w:r w:rsidR="006206D5">
        <w:t xml:space="preserve">level </w:t>
      </w:r>
      <w:r>
        <w:t>have a reduced visual presence.</w:t>
      </w:r>
    </w:p>
    <w:p w:rsidR="00232FE0" w:rsidRDefault="00033C8A">
      <w:pPr>
        <w:pStyle w:val="Para1"/>
      </w:pPr>
      <w:r>
        <w:t>Ultimately I find that these range of techniques have not successfully reduce</w:t>
      </w:r>
      <w:r w:rsidR="006206D5">
        <w:t>d</w:t>
      </w:r>
      <w:r>
        <w:t xml:space="preserve"> the apparent scale of this building, and that indeed one of the techniques used may actually increase the visual scale of the development.  In particular, I am concerned how the increased setbacks to the central section of the first floor opens up views of the second floor, where otherwise short range views to the second floor may have been partially or entirely hidden by the first floor parapet.  </w:t>
      </w:r>
      <w:r w:rsidRPr="00D42179">
        <w:rPr>
          <w:highlight w:val="yellow"/>
        </w:rPr>
        <w:t>The result is the presentation of the full three storey scale (or 2.5 storeys above the natural ground level) to the most sensitive component of the eastern interface</w:t>
      </w:r>
      <w:r>
        <w:t>.</w:t>
      </w:r>
    </w:p>
    <w:p w:rsidR="00033C8A" w:rsidRDefault="00B7674F">
      <w:pPr>
        <w:pStyle w:val="Para1"/>
      </w:pPr>
      <w:r>
        <w:t>I find that a more sensitive and considered response to the extent of scale visible from the adjoining properties from the east should be pursued in a future redesign.</w:t>
      </w:r>
      <w:r w:rsidR="0087559E">
        <w:t xml:space="preserve">  </w:t>
      </w:r>
      <w:r w:rsidR="0087559E" w:rsidRPr="00D42179">
        <w:rPr>
          <w:highlight w:val="yellow"/>
        </w:rPr>
        <w:t>The residents urged upon me that a more appropriate development will consist of two storeys in scale.  I agree with their submissions that the two storey apartment building at 13 Claire Street represents a more successful integration into the surrounding context.</w:t>
      </w:r>
      <w:r w:rsidR="0087559E">
        <w:t xml:space="preserve">  Further, for the reasons set out above I agree that this proposed three storey building is too big and bulky, with inappropriate setbacks, for the review site.  </w:t>
      </w:r>
      <w:r w:rsidR="0087559E" w:rsidRPr="00D42179">
        <w:rPr>
          <w:highlight w:val="yellow"/>
        </w:rPr>
        <w:t>However I have not been persuaded that the site is unsuitable for a three storey apartment building per se.  Given the extent of policy support for a significant level of additional housing in this location, and the vast size of this consolidated site, I am not willing to conclude that it is not possible for a well designed three storey apartment building to be found to be an appropriate</w:t>
      </w:r>
      <w:r w:rsidR="004476E8" w:rsidRPr="00D42179">
        <w:rPr>
          <w:highlight w:val="yellow"/>
        </w:rPr>
        <w:t xml:space="preserve"> built form</w:t>
      </w:r>
      <w:r w:rsidR="0087559E" w:rsidRPr="00D42179">
        <w:rPr>
          <w:highlight w:val="yellow"/>
        </w:rPr>
        <w:t xml:space="preserve"> response to this context.</w:t>
      </w:r>
      <w:r w:rsidR="006206D5">
        <w:t xml:space="preserve">  However a successful project will need to provide a reduced scale and presence compared to the proposal that is before me.</w:t>
      </w:r>
    </w:p>
    <w:p w:rsidR="00232FE0" w:rsidRDefault="00B7674F">
      <w:pPr>
        <w:pStyle w:val="Para1"/>
      </w:pPr>
      <w:r>
        <w:lastRenderedPageBreak/>
        <w:t xml:space="preserve">My ultimate task as a decision maker under the planning framework that applies in Victoria is to assess whether this proposal achieves a net community benefit.  That requires </w:t>
      </w:r>
      <w:r w:rsidR="0087559E">
        <w:t xml:space="preserve">an assessment of the benefits and </w:t>
      </w:r>
      <w:proofErr w:type="spellStart"/>
      <w:r w:rsidR="0087559E">
        <w:t>disbenefits</w:t>
      </w:r>
      <w:proofErr w:type="spellEnd"/>
      <w:r w:rsidR="0087559E">
        <w:t xml:space="preserve"> of this proposal, noting that the planning scheme does not seek an ideal outcome, but rather one that is appropriate and reasonable.</w:t>
      </w:r>
      <w:r w:rsidR="006206D5">
        <w:rPr>
          <w:rStyle w:val="FootnoteReference"/>
        </w:rPr>
        <w:footnoteReference w:id="14"/>
      </w:r>
    </w:p>
    <w:p w:rsidR="0087559E" w:rsidRDefault="0087559E">
      <w:pPr>
        <w:pStyle w:val="Para1"/>
      </w:pPr>
      <w:r w:rsidRPr="00365D1E">
        <w:rPr>
          <w:highlight w:val="yellow"/>
        </w:rPr>
        <w:t xml:space="preserve">Clearly this proposal has a number of substantial benefits.  It provides additional and more diverse housing in a location where such housing gains significant policy support.  </w:t>
      </w:r>
      <w:r w:rsidR="006129E2" w:rsidRPr="00365D1E">
        <w:rPr>
          <w:highlight w:val="yellow"/>
        </w:rPr>
        <w:t>The additional housing will in some way contribute to housing affordability in this neighbourhood.  The proposal</w:t>
      </w:r>
      <w:r w:rsidR="009A6E85" w:rsidRPr="00365D1E">
        <w:rPr>
          <w:highlight w:val="yellow"/>
        </w:rPr>
        <w:t xml:space="preserve"> comprises a consolidated site, formed from three existing residential allotments, and so </w:t>
      </w:r>
      <w:r w:rsidR="006129E2" w:rsidRPr="00365D1E">
        <w:rPr>
          <w:highlight w:val="yellow"/>
        </w:rPr>
        <w:t xml:space="preserve">is </w:t>
      </w:r>
      <w:r w:rsidR="009A6E85" w:rsidRPr="00365D1E">
        <w:rPr>
          <w:highlight w:val="yellow"/>
        </w:rPr>
        <w:t xml:space="preserve">a form of development specifically encouraged in this housing diversity area.  </w:t>
      </w:r>
      <w:r w:rsidRPr="00365D1E">
        <w:rPr>
          <w:highlight w:val="yellow"/>
        </w:rPr>
        <w:t>It also achieves a standard of housing that has a high level of internal amenity, and contains all of its expected car parking on site.  The overall architectural design is also of a reasonable quality, and is complemented by a good range of landscaping</w:t>
      </w:r>
      <w:r>
        <w:t>.</w:t>
      </w:r>
    </w:p>
    <w:p w:rsidR="0087559E" w:rsidRDefault="0087559E">
      <w:pPr>
        <w:pStyle w:val="Para1"/>
      </w:pPr>
      <w:r>
        <w:t xml:space="preserve">However I am not persuaded that these benefits outweigh the negatives that I have already identified.  New developments such as this must take appropriate steps to both integrate appropriately into its context, as well as set the standard for future development that follows.  Considering the weighting that I give to the </w:t>
      </w:r>
      <w:proofErr w:type="spellStart"/>
      <w:r>
        <w:t>disbenefits</w:t>
      </w:r>
      <w:proofErr w:type="spellEnd"/>
      <w:r>
        <w:t xml:space="preserve"> associated with this proposed development, I must conclude that a ne</w:t>
      </w:r>
      <w:r w:rsidR="006129E2">
        <w:t>t</w:t>
      </w:r>
      <w:r>
        <w:t xml:space="preserve"> community benefit is not achieved.  It therefore follows that I will direct that no permit be granted.</w:t>
      </w:r>
    </w:p>
    <w:p w:rsidR="004F199E" w:rsidRDefault="00232FE0" w:rsidP="00232FE0">
      <w:pPr>
        <w:pStyle w:val="Heading2"/>
      </w:pPr>
      <w:r>
        <w:t>W</w:t>
      </w:r>
      <w:r w:rsidR="004F199E">
        <w:t>hat about the other matters in dispute?</w:t>
      </w:r>
    </w:p>
    <w:p w:rsidR="00232FE0" w:rsidRDefault="004F199E">
      <w:pPr>
        <w:pStyle w:val="Para1"/>
      </w:pPr>
      <w:r>
        <w:t>Given my findings on the key issue of the appropriateness of the built form, I do not need to turn my mind to the other issues which were in dispute.  I will however make the following brief findings in response to the other matters raised by the parties:</w:t>
      </w:r>
    </w:p>
    <w:p w:rsidR="004F199E" w:rsidRDefault="008E564C" w:rsidP="004F199E">
      <w:pPr>
        <w:pStyle w:val="Para1"/>
        <w:numPr>
          <w:ilvl w:val="1"/>
          <w:numId w:val="10"/>
        </w:numPr>
      </w:pPr>
      <w:r>
        <w:t xml:space="preserve">Mr &amp; Mrs </w:t>
      </w:r>
      <w:proofErr w:type="spellStart"/>
      <w:r>
        <w:t>Menko</w:t>
      </w:r>
      <w:proofErr w:type="spellEnd"/>
      <w:r>
        <w:t xml:space="preserve">, along with other residents, were highly concerned about their privacy, and the safety of their children to walk past the proposed development if built.  Firstly, the Applicant has offered to provide screening by way of obscured glazing to all windows and balconies that could possibly look into surrounding homes and rear yards.  On this basis, no overlooking is possible, from someone of a standard height range standing at floor level. </w:t>
      </w:r>
      <w:r w:rsidRPr="00387894">
        <w:rPr>
          <w:highlight w:val="yellow"/>
        </w:rPr>
        <w:t xml:space="preserve">Secondly, the surveillance of the street and footpath by new dwellings is something that is encouraged by the Glen </w:t>
      </w:r>
      <w:proofErr w:type="spellStart"/>
      <w:r w:rsidRPr="00387894">
        <w:rPr>
          <w:highlight w:val="yellow"/>
        </w:rPr>
        <w:t>Eira</w:t>
      </w:r>
      <w:proofErr w:type="spellEnd"/>
      <w:r w:rsidRPr="00387894">
        <w:rPr>
          <w:highlight w:val="yellow"/>
        </w:rPr>
        <w:t xml:space="preserve"> Planning Scheme, as a means of promoting public safety.  It is generally accepted that the more eyes that are on the street and public spaces, the less likely there will be undesirable behaviour.</w:t>
      </w:r>
      <w:r>
        <w:t xml:space="preserve">  </w:t>
      </w:r>
      <w:r>
        <w:lastRenderedPageBreak/>
        <w:t xml:space="preserve">For these reasons I am not persuaded by the concerns expressed by Mr &amp; Mrs </w:t>
      </w:r>
      <w:proofErr w:type="spellStart"/>
      <w:r>
        <w:t>Menko</w:t>
      </w:r>
      <w:proofErr w:type="spellEnd"/>
      <w:r>
        <w:t>.</w:t>
      </w:r>
    </w:p>
    <w:p w:rsidR="008E564C" w:rsidRDefault="008E564C" w:rsidP="004F199E">
      <w:pPr>
        <w:pStyle w:val="Para1"/>
        <w:numPr>
          <w:ilvl w:val="1"/>
          <w:numId w:val="10"/>
        </w:numPr>
      </w:pPr>
      <w:r>
        <w:t xml:space="preserve">I am also not persuaded that the proposed development presents an unreasonable built form to the property owned by Mr &amp; Mrs </w:t>
      </w:r>
      <w:proofErr w:type="spellStart"/>
      <w:r>
        <w:t>Menko</w:t>
      </w:r>
      <w:proofErr w:type="spellEnd"/>
      <w:r>
        <w:t xml:space="preserve">.  For the most part, their dwelling is located in close proximity to their northern boundary, and so has limited views towards the review site.  As was evident on our accompanied inspection, the view from the master bedroom, bathroom and laundry were mainly to the boundary fence, and not much above, particularly when one takes a step or two back from the windows.  The main living areas at the front and rear of the site do not have any windows facing the review site, but rather orientate views to the front and rear.  From the rear yard, the </w:t>
      </w:r>
      <w:proofErr w:type="spellStart"/>
      <w:r>
        <w:t>Menko’s</w:t>
      </w:r>
      <w:proofErr w:type="spellEnd"/>
      <w:r>
        <w:t xml:space="preserve"> will have views to the proposed development.  The ground floor will be largely hidden by the boundary fence, behind which the first floor will be setback </w:t>
      </w:r>
      <w:r w:rsidR="00EE5227">
        <w:t xml:space="preserve">2.7 metres, and the second floor some 5.1 metres.  These setbacks are generous considering the minor extent of built form that will be located adjacent to the </w:t>
      </w:r>
      <w:proofErr w:type="spellStart"/>
      <w:r w:rsidR="00EE5227">
        <w:t>Menko’s</w:t>
      </w:r>
      <w:proofErr w:type="spellEnd"/>
      <w:r w:rsidR="00EE5227">
        <w:t xml:space="preserve"> rear yard.  On my assessment, an unreasonable level of built form will not be visible from this adjoining property.</w:t>
      </w:r>
    </w:p>
    <w:p w:rsidR="00EE5227" w:rsidRPr="009874F1" w:rsidRDefault="00EE5227" w:rsidP="004F199E">
      <w:pPr>
        <w:pStyle w:val="Para1"/>
        <w:numPr>
          <w:ilvl w:val="1"/>
          <w:numId w:val="10"/>
        </w:numPr>
        <w:rPr>
          <w:highlight w:val="yellow"/>
        </w:rPr>
      </w:pPr>
      <w:r>
        <w:t xml:space="preserve">Concern </w:t>
      </w:r>
      <w:r w:rsidR="004476E8">
        <w:t>i</w:t>
      </w:r>
      <w:r>
        <w:t xml:space="preserve">s also raised regarding the potential for additional car parking demand on Claire Street, and what this will mean for access by emergency vehicles.  The proposed development provides the car parking required by Clause 52.06 of the Glen </w:t>
      </w:r>
      <w:proofErr w:type="spellStart"/>
      <w:r>
        <w:t>Eira</w:t>
      </w:r>
      <w:proofErr w:type="spellEnd"/>
      <w:r>
        <w:t xml:space="preserve"> Planning Scheme on site for both residents and visitors.  </w:t>
      </w:r>
      <w:r w:rsidRPr="009874F1">
        <w:rPr>
          <w:highlight w:val="yellow"/>
        </w:rPr>
        <w:t xml:space="preserve">As it provides the level of car parking required under the planning scheme, I have no means by which to require the provision of additional car parking.  Further, the car parking provided is all at grade in the basement, and fee from stackers.  The car parking resource will therefore be very convenient.  I therefore do not anticipate an unreasonable increase in the demand for on-street car </w:t>
      </w:r>
      <w:proofErr w:type="gramStart"/>
      <w:r w:rsidRPr="009874F1">
        <w:rPr>
          <w:highlight w:val="yellow"/>
        </w:rPr>
        <w:t>parking, that</w:t>
      </w:r>
      <w:proofErr w:type="gramEnd"/>
      <w:r w:rsidRPr="009874F1">
        <w:rPr>
          <w:highlight w:val="yellow"/>
        </w:rPr>
        <w:t xml:space="preserve"> might cause difficulties for access for emergency vehicles.  However if car parking issues do result from this or other developments, the Glen </w:t>
      </w:r>
      <w:proofErr w:type="spellStart"/>
      <w:r w:rsidRPr="009874F1">
        <w:rPr>
          <w:highlight w:val="yellow"/>
        </w:rPr>
        <w:t>Eira</w:t>
      </w:r>
      <w:proofErr w:type="spellEnd"/>
      <w:r w:rsidRPr="009874F1">
        <w:rPr>
          <w:highlight w:val="yellow"/>
        </w:rPr>
        <w:t xml:space="preserve"> City Council retains the ability to apply and enforce parking controls in Claire Street and surrounding roads.</w:t>
      </w:r>
    </w:p>
    <w:p w:rsidR="00E4221C" w:rsidRPr="00280633" w:rsidRDefault="00E4221C" w:rsidP="004F199E">
      <w:pPr>
        <w:pStyle w:val="Para1"/>
        <w:numPr>
          <w:ilvl w:val="1"/>
          <w:numId w:val="10"/>
        </w:numPr>
        <w:rPr>
          <w:highlight w:val="yellow"/>
        </w:rPr>
      </w:pPr>
      <w:r>
        <w:t xml:space="preserve">Mr &amp; Mrs </w:t>
      </w:r>
      <w:proofErr w:type="spellStart"/>
      <w:r>
        <w:t>Menko</w:t>
      </w:r>
      <w:proofErr w:type="spellEnd"/>
      <w:r>
        <w:t xml:space="preserve"> also </w:t>
      </w:r>
      <w:proofErr w:type="gramStart"/>
      <w:r>
        <w:t>raise</w:t>
      </w:r>
      <w:r w:rsidR="004476E8">
        <w:t>s</w:t>
      </w:r>
      <w:proofErr w:type="gramEnd"/>
      <w:r>
        <w:t xml:space="preserve"> a concern with the potential increase in traffic in Claire Street, and their difficulties in accessing McKinnon </w:t>
      </w:r>
      <w:r w:rsidR="004476E8">
        <w:t>Road</w:t>
      </w:r>
      <w:r>
        <w:t xml:space="preserve">.  I acknowledge that this proposed development, if approved, would have increased such traffic levels, and the delays currently experienced in turning onto McKinnon Street.  </w:t>
      </w:r>
      <w:r w:rsidRPr="00280633">
        <w:rPr>
          <w:highlight w:val="yellow"/>
        </w:rPr>
        <w:t xml:space="preserve">However the traffic impacts of the proposal were considered by Council’s traffic engineers, and in their independent and expert </w:t>
      </w:r>
      <w:r w:rsidRPr="00280633">
        <w:rPr>
          <w:highlight w:val="yellow"/>
        </w:rPr>
        <w:lastRenderedPageBreak/>
        <w:t xml:space="preserve">opinion, the surrounding road network can accommodate the expected increase in traffic.  </w:t>
      </w:r>
    </w:p>
    <w:p w:rsidR="00EE5227" w:rsidRDefault="00EE5227" w:rsidP="004F199E">
      <w:pPr>
        <w:pStyle w:val="Para1"/>
        <w:numPr>
          <w:ilvl w:val="1"/>
          <w:numId w:val="10"/>
        </w:numPr>
      </w:pPr>
      <w:r>
        <w:t xml:space="preserve">Mr &amp; Mrs </w:t>
      </w:r>
      <w:proofErr w:type="spellStart"/>
      <w:r>
        <w:t>Menko</w:t>
      </w:r>
      <w:proofErr w:type="spellEnd"/>
      <w:r>
        <w:t xml:space="preserve"> also </w:t>
      </w:r>
      <w:proofErr w:type="gramStart"/>
      <w:r>
        <w:t>raise</w:t>
      </w:r>
      <w:r w:rsidR="004476E8">
        <w:t>s</w:t>
      </w:r>
      <w:proofErr w:type="gramEnd"/>
      <w:r>
        <w:t xml:space="preserve"> a concern regarding the noise and headlights from the adjacent driveway to their dwelling.  I consider the Applicant’s offer of an acoustic fence along the part of the shared driveway adjacent to the basement access ramp to be a sufficient solution to these concerns.</w:t>
      </w:r>
      <w:r w:rsidR="00E4221C">
        <w:t xml:space="preserve">  Where other neighbours raise</w:t>
      </w:r>
      <w:r w:rsidR="004476E8">
        <w:t>s</w:t>
      </w:r>
      <w:r w:rsidR="00E4221C">
        <w:t xml:space="preserve"> a concern about noise from air conditioning units and the like, there are controls that regulate such noise, and I expect a future development of the review site to comply with such regulations.</w:t>
      </w:r>
    </w:p>
    <w:p w:rsidR="00EE5227" w:rsidRDefault="00EE5227" w:rsidP="004F199E">
      <w:pPr>
        <w:pStyle w:val="Para1"/>
        <w:numPr>
          <w:ilvl w:val="1"/>
          <w:numId w:val="10"/>
        </w:numPr>
      </w:pPr>
      <w:r w:rsidRPr="00AA60D2">
        <w:rPr>
          <w:highlight w:val="yellow"/>
        </w:rPr>
        <w:t xml:space="preserve">Mrs </w:t>
      </w:r>
      <w:proofErr w:type="spellStart"/>
      <w:r w:rsidRPr="00AA60D2">
        <w:rPr>
          <w:highlight w:val="yellow"/>
        </w:rPr>
        <w:t>Menko</w:t>
      </w:r>
      <w:proofErr w:type="spellEnd"/>
      <w:r w:rsidRPr="00AA60D2">
        <w:rPr>
          <w:highlight w:val="yellow"/>
        </w:rPr>
        <w:t xml:space="preserve"> also raise</w:t>
      </w:r>
      <w:r w:rsidR="004476E8" w:rsidRPr="00AA60D2">
        <w:rPr>
          <w:highlight w:val="yellow"/>
        </w:rPr>
        <w:t>s</w:t>
      </w:r>
      <w:r w:rsidRPr="00AA60D2">
        <w:rPr>
          <w:highlight w:val="yellow"/>
        </w:rPr>
        <w:t xml:space="preserve"> a concern with the proximity of the excavation required for the proposed basement.  Matters of construction detail are not for consideration at the planning stage, and so are not before me.  I understand the concerns expressed by Mrs </w:t>
      </w:r>
      <w:proofErr w:type="spellStart"/>
      <w:r w:rsidRPr="00AA60D2">
        <w:rPr>
          <w:highlight w:val="yellow"/>
        </w:rPr>
        <w:t>Menko</w:t>
      </w:r>
      <w:proofErr w:type="spellEnd"/>
      <w:r w:rsidRPr="00AA60D2">
        <w:rPr>
          <w:highlight w:val="yellow"/>
        </w:rPr>
        <w:t>, but this is a matter for the relevant building surveyor to consider in relation to any future proposal for the review site</w:t>
      </w:r>
      <w:r>
        <w:t>.</w:t>
      </w:r>
    </w:p>
    <w:p w:rsidR="00EE5227" w:rsidRDefault="001432C0" w:rsidP="004F199E">
      <w:pPr>
        <w:pStyle w:val="Para1"/>
        <w:numPr>
          <w:ilvl w:val="1"/>
          <w:numId w:val="10"/>
        </w:numPr>
      </w:pPr>
      <w:r>
        <w:t xml:space="preserve">Other concerns were expressed that the apartments may not accommodate families, or may have people that smoke.  Our community is made up of a great diversity of people and household types, and thankfully so.  There is more and more demand for more diverse </w:t>
      </w:r>
      <w:proofErr w:type="gramStart"/>
      <w:r>
        <w:t>housing, that</w:t>
      </w:r>
      <w:proofErr w:type="gramEnd"/>
      <w:r>
        <w:t xml:space="preserve"> provides for household types other than the traditional family.  As this proposal provides a range of two and three bedroom apartments, it is a form of housing diversity that is encouraged by the Glen </w:t>
      </w:r>
      <w:proofErr w:type="spellStart"/>
      <w:r>
        <w:t>Eira</w:t>
      </w:r>
      <w:proofErr w:type="spellEnd"/>
      <w:r>
        <w:t xml:space="preserve"> Planning Scheme.</w:t>
      </w:r>
    </w:p>
    <w:p w:rsidR="00E4221C" w:rsidRDefault="00E4221C" w:rsidP="004F199E">
      <w:pPr>
        <w:pStyle w:val="Para1"/>
        <w:numPr>
          <w:ilvl w:val="1"/>
          <w:numId w:val="10"/>
        </w:numPr>
      </w:pPr>
      <w:r>
        <w:t xml:space="preserve">The extent of shadowing to be caused by the proposed development falls well within the extent allowed by Standard B21, as set out at Clause 55.04-5 of the Glen </w:t>
      </w:r>
      <w:proofErr w:type="spellStart"/>
      <w:r>
        <w:t>Eira</w:t>
      </w:r>
      <w:proofErr w:type="spellEnd"/>
      <w:r>
        <w:t xml:space="preserve"> Planning Scheme.  While there will be some shadowing at 3.00pm at the equinox to the adjoining properties to the east, this is not unexpected, and the extent of overshadowing proposed is relatively minor at this time of the day.</w:t>
      </w:r>
    </w:p>
    <w:p w:rsidR="00164DD9" w:rsidRDefault="00164DD9" w:rsidP="004F199E">
      <w:pPr>
        <w:pStyle w:val="Para1"/>
        <w:numPr>
          <w:ilvl w:val="1"/>
          <w:numId w:val="10"/>
        </w:numPr>
      </w:pPr>
      <w:r>
        <w:t xml:space="preserve">Council and the residents also oppose the location of an electrical substation in the front setback of the proposed development.  Such sub-stations are becoming </w:t>
      </w:r>
      <w:r w:rsidR="004476E8">
        <w:t xml:space="preserve">a thorn in the side </w:t>
      </w:r>
      <w:r>
        <w:t xml:space="preserve">of redevelopment across the suburbs of Metropolitan Melbourne, and I </w:t>
      </w:r>
      <w:r w:rsidR="002614BC">
        <w:t xml:space="preserve">am </w:t>
      </w:r>
      <w:r>
        <w:t>sure that communities, Councils and developers alike would prefer a more reasonable set of requirements for their siting that might allow them to be better hidden in new developments.  Unfortunately the power companies have rather strict requirements, and as such Applicants are left to do what they can to reduce their streetscape presence.  In this case, I find that while unfortunate, the Applicant has presented a design that will assist to reduce the visual presence of the sub-station, to an extent where I would not have withheld an approval based on this issue.</w:t>
      </w:r>
    </w:p>
    <w:p w:rsidR="00FC407F" w:rsidRDefault="00FC407F">
      <w:pPr>
        <w:pStyle w:val="Heading2"/>
      </w:pPr>
      <w:r>
        <w:lastRenderedPageBreak/>
        <w:t>Conclusion</w:t>
      </w:r>
    </w:p>
    <w:p w:rsidR="006206D5" w:rsidRPr="009A2307" w:rsidRDefault="006206D5">
      <w:pPr>
        <w:pStyle w:val="Para1"/>
        <w:rPr>
          <w:highlight w:val="yellow"/>
        </w:rPr>
      </w:pPr>
      <w:r w:rsidRPr="009A2307">
        <w:rPr>
          <w:highlight w:val="yellow"/>
        </w:rPr>
        <w:t xml:space="preserve">The policy framework of the Glen </w:t>
      </w:r>
      <w:proofErr w:type="spellStart"/>
      <w:r w:rsidRPr="009A2307">
        <w:rPr>
          <w:highlight w:val="yellow"/>
        </w:rPr>
        <w:t>Eira</w:t>
      </w:r>
      <w:proofErr w:type="spellEnd"/>
      <w:r w:rsidRPr="009A2307">
        <w:rPr>
          <w:highlight w:val="yellow"/>
        </w:rPr>
        <w:t xml:space="preserve"> Planning Scheme clearly articulates a future for Claire Street, McKinnon that anticipates significant change and more substantial housing developments.  The Glen </w:t>
      </w:r>
      <w:proofErr w:type="spellStart"/>
      <w:r w:rsidRPr="009A2307">
        <w:rPr>
          <w:highlight w:val="yellow"/>
        </w:rPr>
        <w:t>Eira</w:t>
      </w:r>
      <w:proofErr w:type="spellEnd"/>
      <w:r w:rsidRPr="009A2307">
        <w:rPr>
          <w:highlight w:val="yellow"/>
        </w:rPr>
        <w:t xml:space="preserve"> City Council has adopted such a vision as a means of protecting much of its other residential areas from even a moderate amount of medium density housing.  </w:t>
      </w:r>
      <w:r w:rsidR="006129E2" w:rsidRPr="009A2307">
        <w:rPr>
          <w:highlight w:val="yellow"/>
        </w:rPr>
        <w:t>That is the policy framework that has been adopted and applied to this municipality for over 11 years, and is the vision that I must have regard to and implement in my decision making task.</w:t>
      </w:r>
    </w:p>
    <w:p w:rsidR="006129E2" w:rsidRDefault="006129E2">
      <w:pPr>
        <w:pStyle w:val="Para1"/>
      </w:pPr>
      <w:r>
        <w:t>While clearly</w:t>
      </w:r>
      <w:r w:rsidR="004476E8">
        <w:t xml:space="preserve"> the development of the review site with</w:t>
      </w:r>
      <w:r>
        <w:t xml:space="preserve"> an apartment style development of some scale is consistent with this vision, and the intent of the Glen </w:t>
      </w:r>
      <w:proofErr w:type="spellStart"/>
      <w:r>
        <w:t>Eira</w:t>
      </w:r>
      <w:proofErr w:type="spellEnd"/>
      <w:r>
        <w:t xml:space="preserve"> Planning Scheme, the proposal that is before me has some aspects which unreasonably </w:t>
      </w:r>
      <w:proofErr w:type="gramStart"/>
      <w:r>
        <w:t>increases</w:t>
      </w:r>
      <w:proofErr w:type="gramEnd"/>
      <w:r>
        <w:t xml:space="preserve"> its scale and impact on this neighbourhood.  I find that these aspects have negative consequences, or </w:t>
      </w:r>
      <w:proofErr w:type="spellStart"/>
      <w:r>
        <w:t>disbenefits</w:t>
      </w:r>
      <w:proofErr w:type="spellEnd"/>
      <w:r>
        <w:t xml:space="preserve">, that outweigh the positive aspects and means that a net community benefit </w:t>
      </w:r>
      <w:r w:rsidR="0049764B">
        <w:t>will not result from granting a planning permit</w:t>
      </w:r>
      <w:r>
        <w:t>.</w:t>
      </w:r>
    </w:p>
    <w:p w:rsidR="00FC407F" w:rsidRDefault="00FC407F">
      <w:pPr>
        <w:pStyle w:val="Para1"/>
      </w:pPr>
      <w:r>
        <w:t>For the reasons explained above, the decision of the Responsible Authority is affirmed.  No permit is to issue.</w:t>
      </w:r>
    </w:p>
    <w:p w:rsidR="00FC407F" w:rsidRDefault="00FC407F"/>
    <w:p w:rsidR="00FC407F" w:rsidRDefault="00FC407F"/>
    <w:p w:rsidR="00FC407F" w:rsidRDefault="00FC407F"/>
    <w:p w:rsidR="00FC407F" w:rsidRDefault="00FC407F"/>
    <w:tbl>
      <w:tblPr>
        <w:tblW w:w="0" w:type="auto"/>
        <w:tblLayout w:type="fixed"/>
        <w:tblLook w:val="0000"/>
      </w:tblPr>
      <w:tblGrid>
        <w:gridCol w:w="2907"/>
        <w:gridCol w:w="2908"/>
        <w:gridCol w:w="2906"/>
      </w:tblGrid>
      <w:tr w:rsidR="00FC407F">
        <w:tblPrEx>
          <w:tblCellMar>
            <w:top w:w="0" w:type="dxa"/>
            <w:bottom w:w="0" w:type="dxa"/>
          </w:tblCellMar>
        </w:tblPrEx>
        <w:tc>
          <w:tcPr>
            <w:tcW w:w="2907" w:type="dxa"/>
          </w:tcPr>
          <w:p w:rsidR="00FC407F" w:rsidRPr="00E1373C" w:rsidRDefault="00E1373C">
            <w:pPr>
              <w:tabs>
                <w:tab w:val="left" w:pos="1515"/>
              </w:tabs>
            </w:pPr>
            <w:r w:rsidRPr="00E1373C">
              <w:t>Michael Deidun</w:t>
            </w:r>
          </w:p>
          <w:p w:rsidR="00FC407F" w:rsidRDefault="00FC407F">
            <w:pPr>
              <w:tabs>
                <w:tab w:val="left" w:pos="1515"/>
              </w:tabs>
              <w:rPr>
                <w:b/>
              </w:rPr>
            </w:pPr>
            <w:r>
              <w:rPr>
                <w:b/>
              </w:rPr>
              <w:t>Member</w:t>
            </w:r>
          </w:p>
        </w:tc>
        <w:tc>
          <w:tcPr>
            <w:tcW w:w="2908" w:type="dxa"/>
          </w:tcPr>
          <w:p w:rsidR="00FC407F" w:rsidRDefault="00FC407F"/>
        </w:tc>
        <w:tc>
          <w:tcPr>
            <w:tcW w:w="2906" w:type="dxa"/>
          </w:tcPr>
          <w:p w:rsidR="00FC407F" w:rsidRDefault="00FC407F">
            <w:pPr>
              <w:tabs>
                <w:tab w:val="left" w:pos="1515"/>
              </w:tabs>
              <w:rPr>
                <w:b/>
              </w:rPr>
            </w:pPr>
          </w:p>
          <w:p w:rsidR="00FC407F" w:rsidRDefault="00FC407F">
            <w:pPr>
              <w:rPr>
                <w:b/>
              </w:rPr>
            </w:pPr>
          </w:p>
        </w:tc>
      </w:tr>
    </w:tbl>
    <w:p w:rsidR="00FC407F" w:rsidRDefault="00FC407F">
      <w:pPr>
        <w:pStyle w:val="Heading1"/>
      </w:pPr>
    </w:p>
    <w:p w:rsidR="005D13E7" w:rsidRDefault="00387CF8" w:rsidP="00CB172F">
      <w:pPr>
        <w:pStyle w:val="Heading1"/>
        <w:jc w:val="left"/>
      </w:pPr>
      <w:r>
        <w:t xml:space="preserve"> </w:t>
      </w:r>
    </w:p>
    <w:sectPr w:rsidR="005D13E7">
      <w:footerReference w:type="default" r:id="rId8"/>
      <w:type w:val="continuous"/>
      <w:pgSz w:w="11907" w:h="16840" w:code="9"/>
      <w:pgMar w:top="1440" w:right="1701" w:bottom="1259" w:left="1701" w:header="561" w:footer="879"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803C0" w:rsidRDefault="001803C0">
      <w:r>
        <w:separator/>
      </w:r>
    </w:p>
  </w:endnote>
  <w:endnote w:type="continuationSeparator" w:id="0">
    <w:p w:rsidR="001803C0" w:rsidRDefault="001803C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108" w:type="dxa"/>
      <w:tblBorders>
        <w:top w:val="single" w:sz="4" w:space="0" w:color="auto"/>
      </w:tblBorders>
      <w:tblLayout w:type="fixed"/>
      <w:tblLook w:val="0000"/>
    </w:tblPr>
    <w:tblGrid>
      <w:gridCol w:w="6774"/>
      <w:gridCol w:w="2334"/>
    </w:tblGrid>
    <w:tr w:rsidR="00FC407F">
      <w:tblPrEx>
        <w:tblCellMar>
          <w:top w:w="0" w:type="dxa"/>
          <w:bottom w:w="0" w:type="dxa"/>
        </w:tblCellMar>
      </w:tblPrEx>
      <w:trPr>
        <w:cantSplit/>
      </w:trPr>
      <w:tc>
        <w:tcPr>
          <w:tcW w:w="6774" w:type="dxa"/>
        </w:tcPr>
        <w:p w:rsidR="00FC407F" w:rsidRPr="006E0C63" w:rsidRDefault="00FC407F">
          <w:pPr>
            <w:pStyle w:val="Footer"/>
            <w:spacing w:before="144"/>
            <w:rPr>
              <w:sz w:val="16"/>
              <w:szCs w:val="16"/>
            </w:rPr>
          </w:pPr>
          <w:r w:rsidRPr="006E0C63">
            <w:rPr>
              <w:sz w:val="16"/>
              <w:szCs w:val="16"/>
            </w:rPr>
            <w:t xml:space="preserve">VCAT Reference No. </w:t>
          </w:r>
          <w:r w:rsidR="006E0C63" w:rsidRPr="006E0C63">
            <w:rPr>
              <w:sz w:val="16"/>
              <w:szCs w:val="16"/>
            </w:rPr>
            <w:t>P1451/2015</w:t>
          </w:r>
        </w:p>
      </w:tc>
      <w:tc>
        <w:tcPr>
          <w:tcW w:w="2334" w:type="dxa"/>
        </w:tcPr>
        <w:p w:rsidR="00FC407F" w:rsidRDefault="00FC407F">
          <w:pPr>
            <w:pStyle w:val="Footer"/>
            <w:spacing w:before="144"/>
            <w:jc w:val="right"/>
            <w:rPr>
              <w:sz w:val="16"/>
              <w:szCs w:val="16"/>
            </w:rPr>
          </w:pPr>
          <w:r>
            <w:rPr>
              <w:sz w:val="16"/>
              <w:szCs w:val="16"/>
            </w:rPr>
            <w:t xml:space="preserve">Page </w:t>
          </w:r>
          <w:r>
            <w:rPr>
              <w:rStyle w:val="PageNumber"/>
              <w:sz w:val="16"/>
              <w:szCs w:val="16"/>
            </w:rPr>
            <w:fldChar w:fldCharType="begin"/>
          </w:r>
          <w:r>
            <w:rPr>
              <w:rStyle w:val="PageNumber"/>
              <w:sz w:val="16"/>
              <w:szCs w:val="16"/>
            </w:rPr>
            <w:instrText xml:space="preserve"> PAGE </w:instrText>
          </w:r>
          <w:r>
            <w:rPr>
              <w:rStyle w:val="PageNumber"/>
              <w:sz w:val="16"/>
              <w:szCs w:val="16"/>
            </w:rPr>
            <w:fldChar w:fldCharType="separate"/>
          </w:r>
          <w:r w:rsidR="009A2307">
            <w:rPr>
              <w:rStyle w:val="PageNumber"/>
              <w:noProof/>
              <w:sz w:val="16"/>
              <w:szCs w:val="16"/>
            </w:rPr>
            <w:t>16</w:t>
          </w:r>
          <w:r>
            <w:rPr>
              <w:rStyle w:val="PageNumber"/>
              <w:sz w:val="16"/>
              <w:szCs w:val="16"/>
            </w:rPr>
            <w:fldChar w:fldCharType="end"/>
          </w:r>
          <w:r>
            <w:rPr>
              <w:rStyle w:val="PageNumber"/>
              <w:sz w:val="16"/>
              <w:szCs w:val="16"/>
            </w:rPr>
            <w:t xml:space="preserve"> of </w:t>
          </w:r>
          <w:r>
            <w:rPr>
              <w:rStyle w:val="PageNumber"/>
              <w:sz w:val="16"/>
              <w:szCs w:val="16"/>
            </w:rPr>
            <w:fldChar w:fldCharType="begin"/>
          </w:r>
          <w:r>
            <w:rPr>
              <w:rStyle w:val="PageNumber"/>
              <w:sz w:val="16"/>
              <w:szCs w:val="16"/>
            </w:rPr>
            <w:instrText xml:space="preserve"> NUMPAGES </w:instrText>
          </w:r>
          <w:r>
            <w:rPr>
              <w:rStyle w:val="PageNumber"/>
              <w:sz w:val="16"/>
              <w:szCs w:val="16"/>
            </w:rPr>
            <w:fldChar w:fldCharType="separate"/>
          </w:r>
          <w:r w:rsidR="009A2307">
            <w:rPr>
              <w:rStyle w:val="PageNumber"/>
              <w:noProof/>
              <w:sz w:val="16"/>
              <w:szCs w:val="16"/>
            </w:rPr>
            <w:t>16</w:t>
          </w:r>
          <w:r>
            <w:rPr>
              <w:rStyle w:val="PageNumber"/>
              <w:sz w:val="16"/>
              <w:szCs w:val="16"/>
            </w:rPr>
            <w:fldChar w:fldCharType="end"/>
          </w:r>
        </w:p>
      </w:tc>
    </w:tr>
  </w:tbl>
  <w:p w:rsidR="00FC407F" w:rsidRDefault="00FC407F">
    <w:pPr>
      <w:pStyle w:val="Footer"/>
      <w:rPr>
        <w:sz w:val="16"/>
        <w:szCs w:val="16"/>
      </w:rPr>
    </w:pPr>
  </w:p>
  <w:p w:rsidR="00FC407F" w:rsidRDefault="00FC407F">
    <w:pPr>
      <w:rPr>
        <w:sz w:val="2"/>
      </w:rPr>
    </w:pPr>
  </w:p>
  <w:p w:rsidR="00FC407F" w:rsidRDefault="00FC407F">
    <w:pPr>
      <w:pStyle w:val="Footer"/>
      <w:rPr>
        <w:sz w:val="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803C0" w:rsidRDefault="001803C0">
      <w:r>
        <w:separator/>
      </w:r>
    </w:p>
  </w:footnote>
  <w:footnote w:type="continuationSeparator" w:id="0">
    <w:p w:rsidR="001803C0" w:rsidRDefault="001803C0">
      <w:r>
        <w:continuationSeparator/>
      </w:r>
    </w:p>
  </w:footnote>
  <w:footnote w:id="1">
    <w:p w:rsidR="00FC407F" w:rsidRDefault="00FC407F">
      <w:pPr>
        <w:pStyle w:val="FootnoteText"/>
        <w:ind w:left="540" w:hanging="540"/>
        <w:rPr>
          <w:sz w:val="16"/>
          <w:szCs w:val="16"/>
        </w:rPr>
      </w:pPr>
      <w:r>
        <w:rPr>
          <w:rStyle w:val="FootnoteReference"/>
          <w:sz w:val="16"/>
          <w:szCs w:val="16"/>
        </w:rPr>
        <w:footnoteRef/>
      </w:r>
      <w:r>
        <w:rPr>
          <w:sz w:val="16"/>
          <w:szCs w:val="16"/>
        </w:rPr>
        <w:t xml:space="preserve"> </w:t>
      </w:r>
      <w:r>
        <w:rPr>
          <w:sz w:val="16"/>
          <w:szCs w:val="16"/>
        </w:rPr>
        <w:tab/>
        <w:t>I</w:t>
      </w:r>
      <w:r w:rsidR="006E0C63">
        <w:rPr>
          <w:sz w:val="16"/>
          <w:szCs w:val="16"/>
        </w:rPr>
        <w:t xml:space="preserve"> </w:t>
      </w:r>
      <w:r>
        <w:rPr>
          <w:sz w:val="16"/>
          <w:szCs w:val="16"/>
        </w:rPr>
        <w:t xml:space="preserve">have considered the submissions of all the parties that appeared, all the written and oral evidence, all the exhibits tendered by the parties, and all the statements of grounds filed.  I do not recite or refer to all of the contents of those documents in these reasons.  </w:t>
      </w:r>
    </w:p>
  </w:footnote>
  <w:footnote w:id="2">
    <w:p w:rsidR="00F7634B" w:rsidRDefault="00F7634B">
      <w:pPr>
        <w:pStyle w:val="FootnoteText"/>
      </w:pPr>
      <w:r>
        <w:rPr>
          <w:rStyle w:val="FootnoteReference"/>
        </w:rPr>
        <w:footnoteRef/>
      </w:r>
      <w:r>
        <w:t xml:space="preserve"> </w:t>
      </w:r>
      <w:proofErr w:type="gramStart"/>
      <w:r>
        <w:t>Derived from page 62 of Plan Melbourne.</w:t>
      </w:r>
      <w:proofErr w:type="gramEnd"/>
    </w:p>
  </w:footnote>
  <w:footnote w:id="3">
    <w:p w:rsidR="00F7634B" w:rsidRDefault="00F7634B">
      <w:pPr>
        <w:pStyle w:val="FootnoteText"/>
      </w:pPr>
      <w:r>
        <w:rPr>
          <w:rStyle w:val="FootnoteReference"/>
        </w:rPr>
        <w:footnoteRef/>
      </w:r>
      <w:r>
        <w:t xml:space="preserve"> </w:t>
      </w:r>
      <w:proofErr w:type="gramStart"/>
      <w:r>
        <w:t xml:space="preserve">When it was inserted into the Glen </w:t>
      </w:r>
      <w:proofErr w:type="spellStart"/>
      <w:r>
        <w:t>Eira</w:t>
      </w:r>
      <w:proofErr w:type="spellEnd"/>
      <w:r>
        <w:t xml:space="preserve"> Planning Scheme as a result of the gazettal of Amendment C25.</w:t>
      </w:r>
      <w:proofErr w:type="gramEnd"/>
    </w:p>
  </w:footnote>
  <w:footnote w:id="4">
    <w:p w:rsidR="00F7634B" w:rsidRDefault="00F7634B">
      <w:pPr>
        <w:pStyle w:val="FootnoteText"/>
      </w:pPr>
      <w:r>
        <w:rPr>
          <w:rStyle w:val="FootnoteReference"/>
        </w:rPr>
        <w:footnoteRef/>
      </w:r>
      <w:r>
        <w:t xml:space="preserve"> </w:t>
      </w:r>
      <w:proofErr w:type="gramStart"/>
      <w:r>
        <w:t xml:space="preserve">Clause 21.03 of the Glen </w:t>
      </w:r>
      <w:proofErr w:type="spellStart"/>
      <w:r>
        <w:t>Eira</w:t>
      </w:r>
      <w:proofErr w:type="spellEnd"/>
      <w:r>
        <w:t xml:space="preserve"> Planning Scheme.</w:t>
      </w:r>
      <w:proofErr w:type="gramEnd"/>
    </w:p>
  </w:footnote>
  <w:footnote w:id="5">
    <w:p w:rsidR="00F7634B" w:rsidRDefault="00F7634B">
      <w:pPr>
        <w:pStyle w:val="FootnoteText"/>
      </w:pPr>
      <w:r>
        <w:rPr>
          <w:rStyle w:val="FootnoteReference"/>
        </w:rPr>
        <w:footnoteRef/>
      </w:r>
      <w:r>
        <w:t xml:space="preserve"> </w:t>
      </w:r>
      <w:proofErr w:type="gramStart"/>
      <w:r>
        <w:t xml:space="preserve">Clause 21.04-1 of the Glen </w:t>
      </w:r>
      <w:proofErr w:type="spellStart"/>
      <w:r>
        <w:t>Eira</w:t>
      </w:r>
      <w:proofErr w:type="spellEnd"/>
      <w:r>
        <w:t xml:space="preserve"> Planning Scheme.</w:t>
      </w:r>
      <w:proofErr w:type="gramEnd"/>
    </w:p>
  </w:footnote>
  <w:footnote w:id="6">
    <w:p w:rsidR="00AF05C2" w:rsidRDefault="00AF05C2">
      <w:pPr>
        <w:pStyle w:val="FootnoteText"/>
      </w:pPr>
      <w:r>
        <w:rPr>
          <w:rStyle w:val="FootnoteReference"/>
        </w:rPr>
        <w:footnoteRef/>
      </w:r>
      <w:r>
        <w:t xml:space="preserve"> </w:t>
      </w:r>
      <w:proofErr w:type="gramStart"/>
      <w:r>
        <w:t xml:space="preserve">Clause 21.04-2 </w:t>
      </w:r>
      <w:r w:rsidR="009A6E85">
        <w:t xml:space="preserve">of the Glen </w:t>
      </w:r>
      <w:proofErr w:type="spellStart"/>
      <w:r w:rsidR="009A6E85">
        <w:t>Eira</w:t>
      </w:r>
      <w:proofErr w:type="spellEnd"/>
      <w:r w:rsidR="009A6E85">
        <w:t xml:space="preserve"> Planning Scheme.</w:t>
      </w:r>
      <w:proofErr w:type="gramEnd"/>
    </w:p>
  </w:footnote>
  <w:footnote w:id="7">
    <w:p w:rsidR="009A6E85" w:rsidRDefault="009A6E85">
      <w:pPr>
        <w:pStyle w:val="FootnoteText"/>
      </w:pPr>
      <w:r>
        <w:rPr>
          <w:rStyle w:val="FootnoteReference"/>
        </w:rPr>
        <w:footnoteRef/>
      </w:r>
      <w:r>
        <w:t xml:space="preserve"> </w:t>
      </w:r>
      <w:proofErr w:type="gramStart"/>
      <w:r>
        <w:t xml:space="preserve">Clause 22.07-1 of the Glen </w:t>
      </w:r>
      <w:proofErr w:type="spellStart"/>
      <w:r>
        <w:t>Eira</w:t>
      </w:r>
      <w:proofErr w:type="spellEnd"/>
      <w:r>
        <w:t xml:space="preserve"> Planning Scheme.</w:t>
      </w:r>
      <w:proofErr w:type="gramEnd"/>
    </w:p>
  </w:footnote>
  <w:footnote w:id="8">
    <w:p w:rsidR="009A6E85" w:rsidRDefault="009A6E85">
      <w:pPr>
        <w:pStyle w:val="FootnoteText"/>
      </w:pPr>
      <w:r>
        <w:rPr>
          <w:rStyle w:val="FootnoteReference"/>
        </w:rPr>
        <w:footnoteRef/>
      </w:r>
      <w:r>
        <w:t xml:space="preserve"> </w:t>
      </w:r>
      <w:proofErr w:type="gramStart"/>
      <w:r>
        <w:t xml:space="preserve">Clause 22.07-3.1 of the Glen </w:t>
      </w:r>
      <w:proofErr w:type="spellStart"/>
      <w:r>
        <w:t>Eira</w:t>
      </w:r>
      <w:proofErr w:type="spellEnd"/>
      <w:r>
        <w:t xml:space="preserve"> Planning Scheme.</w:t>
      </w:r>
      <w:proofErr w:type="gramEnd"/>
    </w:p>
  </w:footnote>
  <w:footnote w:id="9">
    <w:p w:rsidR="00257FDF" w:rsidRDefault="00257FDF">
      <w:pPr>
        <w:pStyle w:val="FootnoteText"/>
      </w:pPr>
      <w:r>
        <w:rPr>
          <w:rStyle w:val="FootnoteReference"/>
        </w:rPr>
        <w:footnoteRef/>
      </w:r>
      <w:r>
        <w:t xml:space="preserve"> </w:t>
      </w:r>
      <w:r w:rsidRPr="00257FDF">
        <w:t>[2014] VCAT 1095</w:t>
      </w:r>
      <w:r>
        <w:t xml:space="preserve"> at paragraphs 1-5 inclusive.</w:t>
      </w:r>
    </w:p>
  </w:footnote>
  <w:footnote w:id="10">
    <w:p w:rsidR="009A6E85" w:rsidRDefault="009A6E85">
      <w:pPr>
        <w:pStyle w:val="FootnoteText"/>
      </w:pPr>
      <w:r>
        <w:rPr>
          <w:rStyle w:val="FootnoteReference"/>
        </w:rPr>
        <w:footnoteRef/>
      </w:r>
      <w:r>
        <w:t xml:space="preserve"> </w:t>
      </w:r>
      <w:proofErr w:type="gramStart"/>
      <w:r>
        <w:t xml:space="preserve">Clause 22.07-3.1 of the Glen </w:t>
      </w:r>
      <w:proofErr w:type="spellStart"/>
      <w:r>
        <w:t>Eira</w:t>
      </w:r>
      <w:proofErr w:type="spellEnd"/>
      <w:r>
        <w:t xml:space="preserve"> Planning Scheme.</w:t>
      </w:r>
      <w:proofErr w:type="gramEnd"/>
    </w:p>
  </w:footnote>
  <w:footnote w:id="11">
    <w:p w:rsidR="009A6E85" w:rsidRDefault="009A6E85">
      <w:pPr>
        <w:pStyle w:val="FootnoteText"/>
      </w:pPr>
      <w:r>
        <w:rPr>
          <w:rStyle w:val="FootnoteReference"/>
        </w:rPr>
        <w:footnoteRef/>
      </w:r>
      <w:r>
        <w:t xml:space="preserve"> </w:t>
      </w:r>
      <w:proofErr w:type="gramStart"/>
      <w:r>
        <w:t xml:space="preserve">Clause 22.07-3.1 of the Glen </w:t>
      </w:r>
      <w:proofErr w:type="spellStart"/>
      <w:r>
        <w:t>Eira</w:t>
      </w:r>
      <w:proofErr w:type="spellEnd"/>
      <w:r>
        <w:t xml:space="preserve"> Planning Scheme.</w:t>
      </w:r>
      <w:proofErr w:type="gramEnd"/>
    </w:p>
  </w:footnote>
  <w:footnote w:id="12">
    <w:p w:rsidR="00D74B44" w:rsidRDefault="00D74B44">
      <w:pPr>
        <w:pStyle w:val="FootnoteText"/>
      </w:pPr>
      <w:r>
        <w:rPr>
          <w:rStyle w:val="FootnoteReference"/>
        </w:rPr>
        <w:footnoteRef/>
      </w:r>
      <w:r>
        <w:t xml:space="preserve"> </w:t>
      </w:r>
      <w:proofErr w:type="gramStart"/>
      <w:r>
        <w:t xml:space="preserve">Clause 22.07-3.1 of the Glen </w:t>
      </w:r>
      <w:proofErr w:type="spellStart"/>
      <w:r>
        <w:t>Eira</w:t>
      </w:r>
      <w:proofErr w:type="spellEnd"/>
      <w:r>
        <w:t xml:space="preserve"> Planning Scheme.</w:t>
      </w:r>
      <w:proofErr w:type="gramEnd"/>
    </w:p>
  </w:footnote>
  <w:footnote w:id="13">
    <w:p w:rsidR="00D03680" w:rsidRDefault="00D03680">
      <w:pPr>
        <w:pStyle w:val="FootnoteText"/>
      </w:pPr>
      <w:r>
        <w:rPr>
          <w:rStyle w:val="FootnoteReference"/>
        </w:rPr>
        <w:footnoteRef/>
      </w:r>
      <w:r>
        <w:t xml:space="preserve"> As found at Clause 55.05-4 of the Glen </w:t>
      </w:r>
      <w:proofErr w:type="spellStart"/>
      <w:r>
        <w:t>Eira</w:t>
      </w:r>
      <w:proofErr w:type="spellEnd"/>
      <w:r>
        <w:t xml:space="preserve"> Planning Scheme.</w:t>
      </w:r>
    </w:p>
  </w:footnote>
  <w:footnote w:id="14">
    <w:p w:rsidR="006206D5" w:rsidRDefault="006206D5">
      <w:pPr>
        <w:pStyle w:val="FootnoteText"/>
      </w:pPr>
      <w:r>
        <w:rPr>
          <w:rStyle w:val="FootnoteReference"/>
        </w:rPr>
        <w:footnoteRef/>
      </w:r>
      <w:r>
        <w:t xml:space="preserve"> Having regard to the guidance provided in the decision of </w:t>
      </w:r>
      <w:r w:rsidRPr="001E405E">
        <w:rPr>
          <w:i/>
        </w:rPr>
        <w:t xml:space="preserve">Knox City Council v </w:t>
      </w:r>
      <w:proofErr w:type="spellStart"/>
      <w:r w:rsidRPr="001E405E">
        <w:rPr>
          <w:i/>
        </w:rPr>
        <w:t>Tulcany</w:t>
      </w:r>
      <w:proofErr w:type="spellEnd"/>
      <w:r w:rsidRPr="001E405E">
        <w:rPr>
          <w:i/>
        </w:rPr>
        <w:t xml:space="preserve"> Pty Ltd</w:t>
      </w:r>
      <w:r>
        <w:t xml:space="preserve"> [2004] VSC 375.</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4E329A"/>
    <w:multiLevelType w:val="hybridMultilevel"/>
    <w:tmpl w:val="444803C8"/>
    <w:lvl w:ilvl="0" w:tplc="2E6660E8">
      <w:start w:val="1"/>
      <w:numFmt w:val="decimal"/>
      <w:pStyle w:val="Para1"/>
      <w:lvlText w:val="%1"/>
      <w:lvlJc w:val="left"/>
      <w:pPr>
        <w:tabs>
          <w:tab w:val="num" w:pos="567"/>
        </w:tabs>
        <w:ind w:left="567" w:hanging="567"/>
      </w:pPr>
      <w:rPr>
        <w:rFonts w:hint="default"/>
      </w:rPr>
    </w:lvl>
    <w:lvl w:ilvl="1" w:tplc="0C090019">
      <w:start w:val="1"/>
      <w:numFmt w:val="lowerLetter"/>
      <w:lvlText w:val="%2."/>
      <w:lvlJc w:val="left"/>
      <w:pPr>
        <w:tabs>
          <w:tab w:val="num" w:pos="1440"/>
        </w:tabs>
        <w:ind w:left="1440" w:hanging="360"/>
      </w:pPr>
    </w:lvl>
    <w:lvl w:ilvl="2" w:tplc="0C09001B">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1">
    <w:nsid w:val="0A1E5E80"/>
    <w:multiLevelType w:val="singleLevel"/>
    <w:tmpl w:val="374CD404"/>
    <w:lvl w:ilvl="0">
      <w:start w:val="1"/>
      <w:numFmt w:val="decimal"/>
      <w:pStyle w:val="List"/>
      <w:lvlText w:val="%1."/>
      <w:lvlJc w:val="left"/>
      <w:pPr>
        <w:tabs>
          <w:tab w:val="num" w:pos="360"/>
        </w:tabs>
        <w:ind w:left="360" w:hanging="360"/>
      </w:pPr>
    </w:lvl>
  </w:abstractNum>
  <w:abstractNum w:abstractNumId="2">
    <w:nsid w:val="0AA81283"/>
    <w:multiLevelType w:val="hybridMultilevel"/>
    <w:tmpl w:val="7E9A3DE4"/>
    <w:lvl w:ilvl="0" w:tplc="FFFFFFFF">
      <w:start w:val="1"/>
      <w:numFmt w:val="decimal"/>
      <w:lvlText w:val="%1"/>
      <w:lvlJc w:val="left"/>
      <w:pPr>
        <w:tabs>
          <w:tab w:val="num" w:pos="1134"/>
        </w:tabs>
        <w:ind w:left="1134" w:hanging="567"/>
      </w:pPr>
      <w:rPr>
        <w:rFonts w:cs="Times New Roman" w:hint="default"/>
      </w:rPr>
    </w:lvl>
    <w:lvl w:ilvl="1" w:tplc="FFFFFFFF">
      <w:start w:val="1"/>
      <w:numFmt w:val="lowerLetter"/>
      <w:lvlText w:val="%2."/>
      <w:lvlJc w:val="left"/>
      <w:pPr>
        <w:tabs>
          <w:tab w:val="num" w:pos="306"/>
        </w:tabs>
        <w:ind w:left="306" w:hanging="360"/>
      </w:pPr>
    </w:lvl>
    <w:lvl w:ilvl="2" w:tplc="FFFFFFFF" w:tentative="1">
      <w:start w:val="1"/>
      <w:numFmt w:val="lowerRoman"/>
      <w:lvlText w:val="%3."/>
      <w:lvlJc w:val="right"/>
      <w:pPr>
        <w:tabs>
          <w:tab w:val="num" w:pos="1026"/>
        </w:tabs>
        <w:ind w:left="1026" w:hanging="180"/>
      </w:pPr>
    </w:lvl>
    <w:lvl w:ilvl="3" w:tplc="FFFFFFFF" w:tentative="1">
      <w:start w:val="1"/>
      <w:numFmt w:val="decimal"/>
      <w:lvlText w:val="%4."/>
      <w:lvlJc w:val="left"/>
      <w:pPr>
        <w:tabs>
          <w:tab w:val="num" w:pos="1746"/>
        </w:tabs>
        <w:ind w:left="1746" w:hanging="360"/>
      </w:pPr>
    </w:lvl>
    <w:lvl w:ilvl="4" w:tplc="FFFFFFFF" w:tentative="1">
      <w:start w:val="1"/>
      <w:numFmt w:val="lowerLetter"/>
      <w:lvlText w:val="%5."/>
      <w:lvlJc w:val="left"/>
      <w:pPr>
        <w:tabs>
          <w:tab w:val="num" w:pos="2466"/>
        </w:tabs>
        <w:ind w:left="2466" w:hanging="360"/>
      </w:pPr>
    </w:lvl>
    <w:lvl w:ilvl="5" w:tplc="FFFFFFFF" w:tentative="1">
      <w:start w:val="1"/>
      <w:numFmt w:val="lowerRoman"/>
      <w:lvlText w:val="%6."/>
      <w:lvlJc w:val="right"/>
      <w:pPr>
        <w:tabs>
          <w:tab w:val="num" w:pos="3186"/>
        </w:tabs>
        <w:ind w:left="3186" w:hanging="180"/>
      </w:pPr>
    </w:lvl>
    <w:lvl w:ilvl="6" w:tplc="FFFFFFFF" w:tentative="1">
      <w:start w:val="1"/>
      <w:numFmt w:val="decimal"/>
      <w:lvlText w:val="%7."/>
      <w:lvlJc w:val="left"/>
      <w:pPr>
        <w:tabs>
          <w:tab w:val="num" w:pos="3906"/>
        </w:tabs>
        <w:ind w:left="3906" w:hanging="360"/>
      </w:pPr>
    </w:lvl>
    <w:lvl w:ilvl="7" w:tplc="FFFFFFFF" w:tentative="1">
      <w:start w:val="1"/>
      <w:numFmt w:val="lowerLetter"/>
      <w:lvlText w:val="%8."/>
      <w:lvlJc w:val="left"/>
      <w:pPr>
        <w:tabs>
          <w:tab w:val="num" w:pos="4626"/>
        </w:tabs>
        <w:ind w:left="4626" w:hanging="360"/>
      </w:pPr>
    </w:lvl>
    <w:lvl w:ilvl="8" w:tplc="FFFFFFFF" w:tentative="1">
      <w:start w:val="1"/>
      <w:numFmt w:val="lowerRoman"/>
      <w:lvlText w:val="%9."/>
      <w:lvlJc w:val="right"/>
      <w:pPr>
        <w:tabs>
          <w:tab w:val="num" w:pos="5346"/>
        </w:tabs>
        <w:ind w:left="5346" w:hanging="180"/>
      </w:pPr>
    </w:lvl>
  </w:abstractNum>
  <w:abstractNum w:abstractNumId="3">
    <w:nsid w:val="0B893A7F"/>
    <w:multiLevelType w:val="hybridMultilevel"/>
    <w:tmpl w:val="A59A9106"/>
    <w:lvl w:ilvl="0">
      <w:start w:val="1"/>
      <w:numFmt w:val="lowerLetter"/>
      <w:pStyle w:val="Para4"/>
      <w:lvlText w:val="%1"/>
      <w:lvlJc w:val="left"/>
      <w:pPr>
        <w:tabs>
          <w:tab w:val="num" w:pos="1134"/>
        </w:tabs>
        <w:ind w:left="1134" w:hanging="567"/>
      </w:pPr>
      <w:rPr>
        <w:rFonts w:hint="default"/>
      </w:rPr>
    </w:lvl>
    <w:lvl w:ilvl="1">
      <w:start w:val="1"/>
      <w:numFmt w:val="bullet"/>
      <w:pStyle w:val="Para5"/>
      <w:lvlText w:val=""/>
      <w:lvlJc w:val="left"/>
      <w:pPr>
        <w:tabs>
          <w:tab w:val="num" w:pos="1134"/>
        </w:tabs>
        <w:ind w:left="1134" w:hanging="567"/>
      </w:pPr>
      <w:rPr>
        <w:rFonts w:ascii="Symbol" w:hAnsi="Symbol" w:hint="default"/>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start w:val="1"/>
      <w:numFmt w:val="lowerLetter"/>
      <w:pStyle w:val="Para4"/>
      <w:lvlText w:val="%5."/>
      <w:lvlJc w:val="left"/>
      <w:pPr>
        <w:tabs>
          <w:tab w:val="num" w:pos="1134"/>
        </w:tabs>
        <w:ind w:left="1134" w:hanging="567"/>
      </w:pPr>
      <w:rPr>
        <w:rFonts w:hint="default"/>
      </w:r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4">
    <w:nsid w:val="132A618D"/>
    <w:multiLevelType w:val="hybridMultilevel"/>
    <w:tmpl w:val="9EC46206"/>
    <w:lvl w:ilvl="0">
      <w:start w:val="1"/>
      <w:numFmt w:val="lowerRoman"/>
      <w:pStyle w:val="Para3"/>
      <w:lvlText w:val="%1"/>
      <w:lvlJc w:val="left"/>
      <w:pPr>
        <w:tabs>
          <w:tab w:val="num" w:pos="1134"/>
        </w:tabs>
        <w:ind w:left="1134" w:hanging="567"/>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5">
    <w:nsid w:val="14AB18E6"/>
    <w:multiLevelType w:val="hybridMultilevel"/>
    <w:tmpl w:val="A9EC6B46"/>
    <w:lvl w:ilvl="0" w:tplc="FFFFFFFF">
      <w:start w:val="1"/>
      <w:numFmt w:val="lowerLetter"/>
      <w:lvlText w:val="(%1)"/>
      <w:lvlJc w:val="left"/>
      <w:pPr>
        <w:tabs>
          <w:tab w:val="num" w:pos="2160"/>
        </w:tabs>
        <w:ind w:left="2160"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6">
    <w:nsid w:val="14BB0668"/>
    <w:multiLevelType w:val="hybridMultilevel"/>
    <w:tmpl w:val="3058EB82"/>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7">
    <w:nsid w:val="14F35E2C"/>
    <w:multiLevelType w:val="hybridMultilevel"/>
    <w:tmpl w:val="F7B454C4"/>
    <w:lvl w:ilvl="0" w:tplc="FFFFFFFF">
      <w:start w:val="1"/>
      <w:numFmt w:val="lowerLetter"/>
      <w:lvlText w:val="(%1)"/>
      <w:lvlJc w:val="left"/>
      <w:pPr>
        <w:ind w:left="1440" w:hanging="360"/>
      </w:pPr>
    </w:lvl>
    <w:lvl w:ilvl="1" w:tplc="FFFFFFFF">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8">
    <w:nsid w:val="26B34D1B"/>
    <w:multiLevelType w:val="multilevel"/>
    <w:tmpl w:val="BF8E3000"/>
    <w:lvl w:ilvl="0">
      <w:start w:val="1"/>
      <w:numFmt w:val="decimal"/>
      <w:lvlText w:val="%1"/>
      <w:lvlJc w:val="left"/>
      <w:pPr>
        <w:tabs>
          <w:tab w:val="num" w:pos="567"/>
        </w:tabs>
        <w:ind w:left="567" w:hanging="567"/>
      </w:pPr>
      <w:rPr>
        <w:rFonts w:cs="Times New Roman" w:hint="default"/>
      </w:rPr>
    </w:lvl>
    <w:lvl w:ilvl="1">
      <w:start w:val="1"/>
      <w:numFmt w:val="lowerLetter"/>
      <w:lvlText w:val="(%2)"/>
      <w:lvlJc w:val="left"/>
      <w:pPr>
        <w:tabs>
          <w:tab w:val="num" w:pos="1134"/>
        </w:tabs>
        <w:ind w:left="1134" w:hanging="567"/>
      </w:pPr>
      <w:rPr>
        <w:rFonts w:cs="Times New Roman" w:hint="default"/>
      </w:rPr>
    </w:lvl>
    <w:lvl w:ilvl="2">
      <w:start w:val="1"/>
      <w:numFmt w:val="lowerRoman"/>
      <w:lvlText w:val="(%3)"/>
      <w:lvlJc w:val="left"/>
      <w:pPr>
        <w:tabs>
          <w:tab w:val="num" w:pos="1701"/>
        </w:tabs>
        <w:ind w:left="1701" w:hanging="567"/>
      </w:pPr>
      <w:rPr>
        <w:rFonts w:cs="Times New Roman" w:hint="default"/>
      </w:rPr>
    </w:lvl>
    <w:lvl w:ilvl="3">
      <w:start w:val="1"/>
      <w:numFmt w:val="bullet"/>
      <w:lvlText w:val=""/>
      <w:lvlJc w:val="left"/>
      <w:pPr>
        <w:tabs>
          <w:tab w:val="num" w:pos="2268"/>
        </w:tabs>
        <w:ind w:left="2268" w:hanging="567"/>
      </w:pPr>
      <w:rPr>
        <w:rFonts w:ascii="Wingdings" w:hAnsi="Wingdings"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9">
    <w:nsid w:val="2FB1461F"/>
    <w:multiLevelType w:val="multilevel"/>
    <w:tmpl w:val="B4F490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31A301F8"/>
    <w:multiLevelType w:val="hybridMultilevel"/>
    <w:tmpl w:val="81B0A810"/>
    <w:lvl w:ilvl="0">
      <w:start w:val="1"/>
      <w:numFmt w:val="bullet"/>
      <w:pStyle w:val="Para5"/>
      <w:lvlText w:val=""/>
      <w:lvlJc w:val="left"/>
      <w:pPr>
        <w:tabs>
          <w:tab w:val="num" w:pos="1134"/>
        </w:tabs>
        <w:ind w:left="1134" w:hanging="567"/>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1">
    <w:nsid w:val="3C653867"/>
    <w:multiLevelType w:val="multilevel"/>
    <w:tmpl w:val="D74AEFAC"/>
    <w:lvl w:ilvl="0">
      <w:start w:val="1"/>
      <w:numFmt w:val="decimal"/>
      <w:lvlText w:val="%1."/>
      <w:lvlJc w:val="left"/>
      <w:pPr>
        <w:tabs>
          <w:tab w:val="num" w:pos="720"/>
        </w:tabs>
        <w:ind w:left="720" w:hanging="720"/>
      </w:pPr>
      <w:rPr>
        <w:rFonts w:hint="default"/>
      </w:rPr>
    </w:lvl>
    <w:lvl w:ilvl="1">
      <w:start w:val="1"/>
      <w:numFmt w:val="lowerLetter"/>
      <w:lvlText w:val="%2)"/>
      <w:lvlJc w:val="left"/>
      <w:pPr>
        <w:tabs>
          <w:tab w:val="num" w:pos="360"/>
        </w:tabs>
        <w:ind w:left="360" w:hanging="360"/>
      </w:pPr>
    </w:lvl>
    <w:lvl w:ilvl="2">
      <w:start w:val="2"/>
      <w:numFmt w:val="lowerRoman"/>
      <w:lvlText w:val="%3)"/>
      <w:lvlJc w:val="left"/>
      <w:pPr>
        <w:tabs>
          <w:tab w:val="num" w:pos="1980"/>
        </w:tabs>
        <w:ind w:left="1980" w:hanging="360"/>
      </w:pPr>
      <w:rPr>
        <w:rFonts w:hint="default"/>
        <w:sz w:val="23"/>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2">
    <w:nsid w:val="43474812"/>
    <w:multiLevelType w:val="multilevel"/>
    <w:tmpl w:val="BF8E3000"/>
    <w:lvl w:ilvl="0">
      <w:start w:val="1"/>
      <w:numFmt w:val="decimal"/>
      <w:pStyle w:val="Order2"/>
      <w:lvlText w:val="%1"/>
      <w:lvlJc w:val="left"/>
      <w:pPr>
        <w:tabs>
          <w:tab w:val="num" w:pos="567"/>
        </w:tabs>
        <w:ind w:left="567" w:hanging="567"/>
      </w:pPr>
      <w:rPr>
        <w:rFonts w:cs="Times New Roman" w:hint="default"/>
      </w:rPr>
    </w:lvl>
    <w:lvl w:ilvl="1">
      <w:start w:val="1"/>
      <w:numFmt w:val="lowerLetter"/>
      <w:lvlText w:val="(%2)"/>
      <w:lvlJc w:val="left"/>
      <w:pPr>
        <w:tabs>
          <w:tab w:val="num" w:pos="1134"/>
        </w:tabs>
        <w:ind w:left="1134" w:hanging="567"/>
      </w:pPr>
      <w:rPr>
        <w:rFonts w:cs="Times New Roman" w:hint="default"/>
      </w:rPr>
    </w:lvl>
    <w:lvl w:ilvl="2">
      <w:start w:val="1"/>
      <w:numFmt w:val="lowerRoman"/>
      <w:lvlText w:val="(%3)"/>
      <w:lvlJc w:val="left"/>
      <w:pPr>
        <w:tabs>
          <w:tab w:val="num" w:pos="1701"/>
        </w:tabs>
        <w:ind w:left="1701" w:hanging="567"/>
      </w:pPr>
      <w:rPr>
        <w:rFonts w:cs="Times New Roman" w:hint="default"/>
      </w:rPr>
    </w:lvl>
    <w:lvl w:ilvl="3">
      <w:start w:val="1"/>
      <w:numFmt w:val="bullet"/>
      <w:lvlText w:val=""/>
      <w:lvlJc w:val="left"/>
      <w:pPr>
        <w:tabs>
          <w:tab w:val="num" w:pos="2268"/>
        </w:tabs>
        <w:ind w:left="2268" w:hanging="567"/>
      </w:pPr>
      <w:rPr>
        <w:rFonts w:ascii="Wingdings" w:hAnsi="Wingdings"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13">
    <w:nsid w:val="48996A96"/>
    <w:multiLevelType w:val="hybridMultilevel"/>
    <w:tmpl w:val="6FD82424"/>
    <w:lvl w:ilvl="0" w:tplc="FFFFFFFF">
      <w:start w:val="1"/>
      <w:numFmt w:val="decimal"/>
      <w:lvlText w:val="%1."/>
      <w:lvlJc w:val="left"/>
      <w:pPr>
        <w:ind w:left="720" w:hanging="360"/>
      </w:pPr>
    </w:lvl>
    <w:lvl w:ilvl="1" w:tplc="FFFFFFFF">
      <w:start w:val="1"/>
      <w:numFmt w:val="lowerLetter"/>
      <w:lvlText w:val="(%2)"/>
      <w:lvlJc w:val="left"/>
      <w:pPr>
        <w:ind w:left="1637"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4">
    <w:nsid w:val="4B1C3C0F"/>
    <w:multiLevelType w:val="hybridMultilevel"/>
    <w:tmpl w:val="799CDDE8"/>
    <w:lvl w:ilvl="0" w:tplc="FFFFFFFF">
      <w:start w:val="1"/>
      <w:numFmt w:val="decimal"/>
      <w:lvlText w:val="%1."/>
      <w:lvlJc w:val="left"/>
      <w:pPr>
        <w:ind w:left="720" w:hanging="360"/>
      </w:pPr>
    </w:lvl>
    <w:lvl w:ilvl="1" w:tplc="FFFFFFFF">
      <w:start w:val="1"/>
      <w:numFmt w:val="bullet"/>
      <w:lvlText w:val=""/>
      <w:lvlJc w:val="left"/>
      <w:pPr>
        <w:ind w:left="1440" w:hanging="360"/>
      </w:pPr>
      <w:rPr>
        <w:rFonts w:ascii="Symbol" w:hAnsi="Symbol" w:hint="default"/>
      </w:r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5">
    <w:nsid w:val="4BF07D27"/>
    <w:multiLevelType w:val="multilevel"/>
    <w:tmpl w:val="C5D64AB4"/>
    <w:lvl w:ilvl="0">
      <w:start w:val="1"/>
      <w:numFmt w:val="decimal"/>
      <w:lvlText w:val="%1."/>
      <w:lvlJc w:val="left"/>
      <w:pPr>
        <w:tabs>
          <w:tab w:val="num" w:pos="567"/>
        </w:tabs>
        <w:ind w:left="567" w:hanging="567"/>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6">
    <w:nsid w:val="4C6B7D26"/>
    <w:multiLevelType w:val="hybridMultilevel"/>
    <w:tmpl w:val="C860B62C"/>
    <w:lvl w:ilvl="0" w:tplc="FFFFFFFF">
      <w:start w:val="1"/>
      <w:numFmt w:val="lowerRoman"/>
      <w:lvlText w:val="(%1)"/>
      <w:lvlJc w:val="left"/>
      <w:pPr>
        <w:ind w:left="1800" w:hanging="360"/>
      </w:pPr>
    </w:lvl>
    <w:lvl w:ilvl="1" w:tplc="FFFFFFFF">
      <w:start w:val="1"/>
      <w:numFmt w:val="lowerLetter"/>
      <w:lvlText w:val="%2."/>
      <w:lvlJc w:val="left"/>
      <w:pPr>
        <w:ind w:left="2520" w:hanging="360"/>
      </w:pPr>
    </w:lvl>
    <w:lvl w:ilvl="2" w:tplc="FFFFFFFF">
      <w:start w:val="1"/>
      <w:numFmt w:val="lowerRoman"/>
      <w:lvlText w:val="(%3)"/>
      <w:lvlJc w:val="left"/>
      <w:pPr>
        <w:ind w:left="3240" w:hanging="180"/>
      </w:pPr>
    </w:lvl>
    <w:lvl w:ilvl="3" w:tplc="FFFFFFFF">
      <w:start w:val="1"/>
      <w:numFmt w:val="decimal"/>
      <w:lvlText w:val="%4."/>
      <w:lvlJc w:val="left"/>
      <w:pPr>
        <w:ind w:left="3960" w:hanging="360"/>
      </w:pPr>
    </w:lvl>
    <w:lvl w:ilvl="4" w:tplc="FFFFFFFF">
      <w:start w:val="1"/>
      <w:numFmt w:val="lowerLetter"/>
      <w:lvlText w:val="%5."/>
      <w:lvlJc w:val="left"/>
      <w:pPr>
        <w:ind w:left="4680" w:hanging="360"/>
      </w:pPr>
    </w:lvl>
    <w:lvl w:ilvl="5" w:tplc="FFFFFFFF">
      <w:start w:val="1"/>
      <w:numFmt w:val="lowerRoman"/>
      <w:lvlText w:val="%6."/>
      <w:lvlJc w:val="right"/>
      <w:pPr>
        <w:ind w:left="5400" w:hanging="180"/>
      </w:pPr>
    </w:lvl>
    <w:lvl w:ilvl="6" w:tplc="FFFFFFFF">
      <w:start w:val="1"/>
      <w:numFmt w:val="decimal"/>
      <w:lvlText w:val="%7."/>
      <w:lvlJc w:val="left"/>
      <w:pPr>
        <w:ind w:left="6120" w:hanging="360"/>
      </w:pPr>
    </w:lvl>
    <w:lvl w:ilvl="7" w:tplc="FFFFFFFF">
      <w:start w:val="1"/>
      <w:numFmt w:val="lowerLetter"/>
      <w:lvlText w:val="%8."/>
      <w:lvlJc w:val="left"/>
      <w:pPr>
        <w:ind w:left="6840" w:hanging="360"/>
      </w:pPr>
    </w:lvl>
    <w:lvl w:ilvl="8" w:tplc="FFFFFFFF">
      <w:start w:val="1"/>
      <w:numFmt w:val="lowerRoman"/>
      <w:lvlText w:val="%9."/>
      <w:lvlJc w:val="right"/>
      <w:pPr>
        <w:ind w:left="7560" w:hanging="180"/>
      </w:pPr>
    </w:lvl>
  </w:abstractNum>
  <w:abstractNum w:abstractNumId="17">
    <w:nsid w:val="54B860F1"/>
    <w:multiLevelType w:val="hybridMultilevel"/>
    <w:tmpl w:val="4C5836A4"/>
    <w:lvl w:ilvl="0" w:tplc="FFFFFFFF">
      <w:start w:val="1"/>
      <w:numFmt w:val="lowerLetter"/>
      <w:lvlText w:val="%1)"/>
      <w:lvlJc w:val="left"/>
      <w:pPr>
        <w:ind w:left="1080" w:hanging="360"/>
      </w:pPr>
    </w:lvl>
    <w:lvl w:ilvl="1" w:tplc="FFFFFFFF">
      <w:start w:val="1"/>
      <w:numFmt w:val="lowerLetter"/>
      <w:lvlText w:val="%2."/>
      <w:lvlJc w:val="left"/>
      <w:pPr>
        <w:ind w:left="1800" w:hanging="360"/>
      </w:pPr>
    </w:lvl>
    <w:lvl w:ilvl="2" w:tplc="FFFFFFFF">
      <w:start w:val="1"/>
      <w:numFmt w:val="lowerRoman"/>
      <w:lvlText w:val="%3."/>
      <w:lvlJc w:val="right"/>
      <w:pPr>
        <w:ind w:left="2520" w:hanging="180"/>
      </w:pPr>
    </w:lvl>
    <w:lvl w:ilvl="3" w:tplc="FFFFFFFF">
      <w:start w:val="1"/>
      <w:numFmt w:val="decimal"/>
      <w:lvlText w:val="%4."/>
      <w:lvlJc w:val="left"/>
      <w:pPr>
        <w:ind w:left="3240" w:hanging="360"/>
      </w:pPr>
    </w:lvl>
    <w:lvl w:ilvl="4" w:tplc="FFFFFFFF">
      <w:start w:val="1"/>
      <w:numFmt w:val="lowerLetter"/>
      <w:lvlText w:val="%5."/>
      <w:lvlJc w:val="left"/>
      <w:pPr>
        <w:ind w:left="3960" w:hanging="360"/>
      </w:pPr>
    </w:lvl>
    <w:lvl w:ilvl="5" w:tplc="FFFFFFFF">
      <w:start w:val="1"/>
      <w:numFmt w:val="lowerRoman"/>
      <w:lvlText w:val="%6."/>
      <w:lvlJc w:val="right"/>
      <w:pPr>
        <w:ind w:left="4680" w:hanging="180"/>
      </w:pPr>
    </w:lvl>
    <w:lvl w:ilvl="6" w:tplc="FFFFFFFF">
      <w:start w:val="1"/>
      <w:numFmt w:val="decimal"/>
      <w:lvlText w:val="%7."/>
      <w:lvlJc w:val="left"/>
      <w:pPr>
        <w:ind w:left="5400" w:hanging="360"/>
      </w:pPr>
    </w:lvl>
    <w:lvl w:ilvl="7" w:tplc="FFFFFFFF">
      <w:start w:val="1"/>
      <w:numFmt w:val="lowerLetter"/>
      <w:lvlText w:val="%8."/>
      <w:lvlJc w:val="left"/>
      <w:pPr>
        <w:ind w:left="6120" w:hanging="360"/>
      </w:pPr>
    </w:lvl>
    <w:lvl w:ilvl="8" w:tplc="FFFFFFFF">
      <w:start w:val="1"/>
      <w:numFmt w:val="lowerRoman"/>
      <w:lvlText w:val="%9."/>
      <w:lvlJc w:val="right"/>
      <w:pPr>
        <w:ind w:left="6840" w:hanging="180"/>
      </w:pPr>
    </w:lvl>
  </w:abstractNum>
  <w:abstractNum w:abstractNumId="18">
    <w:nsid w:val="5D9435AE"/>
    <w:multiLevelType w:val="hybridMultilevel"/>
    <w:tmpl w:val="4050C3B6"/>
    <w:lvl w:ilvl="0" w:tplc="FFFFFFFF">
      <w:start w:val="1"/>
      <w:numFmt w:val="lowerLetter"/>
      <w:lvlText w:val="(%1)"/>
      <w:lvlJc w:val="left"/>
      <w:pPr>
        <w:ind w:left="1440" w:hanging="360"/>
      </w:pPr>
    </w:lvl>
    <w:lvl w:ilvl="1" w:tplc="FFFFFFFF">
      <w:start w:val="1"/>
      <w:numFmt w:val="lowerLetter"/>
      <w:lvlText w:val="(%2)"/>
      <w:lvlJc w:val="left"/>
      <w:pPr>
        <w:ind w:left="2160" w:hanging="360"/>
      </w:pPr>
    </w:lvl>
    <w:lvl w:ilvl="2" w:tplc="FFFFFFFF">
      <w:start w:val="1"/>
      <w:numFmt w:val="lowerRoman"/>
      <w:lvlText w:val="%3."/>
      <w:lvlJc w:val="right"/>
      <w:pPr>
        <w:ind w:left="2880" w:hanging="180"/>
      </w:pPr>
    </w:lvl>
    <w:lvl w:ilvl="3" w:tplc="FFFFFFFF">
      <w:start w:val="1"/>
      <w:numFmt w:val="decimal"/>
      <w:lvlText w:val="%4."/>
      <w:lvlJc w:val="left"/>
      <w:pPr>
        <w:ind w:left="3600" w:hanging="360"/>
      </w:pPr>
    </w:lvl>
    <w:lvl w:ilvl="4" w:tplc="FFFFFFFF">
      <w:start w:val="1"/>
      <w:numFmt w:val="lowerLetter"/>
      <w:lvlText w:val="%5."/>
      <w:lvlJc w:val="left"/>
      <w:pPr>
        <w:ind w:left="4320" w:hanging="360"/>
      </w:pPr>
    </w:lvl>
    <w:lvl w:ilvl="5" w:tplc="FFFFFFFF">
      <w:start w:val="1"/>
      <w:numFmt w:val="lowerRoman"/>
      <w:lvlText w:val="%6."/>
      <w:lvlJc w:val="right"/>
      <w:pPr>
        <w:ind w:left="5040" w:hanging="180"/>
      </w:pPr>
    </w:lvl>
    <w:lvl w:ilvl="6" w:tplc="FFFFFFFF">
      <w:start w:val="1"/>
      <w:numFmt w:val="decimal"/>
      <w:lvlText w:val="%7."/>
      <w:lvlJc w:val="left"/>
      <w:pPr>
        <w:ind w:left="5760" w:hanging="360"/>
      </w:pPr>
    </w:lvl>
    <w:lvl w:ilvl="7" w:tplc="FFFFFFFF">
      <w:start w:val="1"/>
      <w:numFmt w:val="lowerLetter"/>
      <w:lvlText w:val="%8."/>
      <w:lvlJc w:val="left"/>
      <w:pPr>
        <w:ind w:left="6480" w:hanging="360"/>
      </w:pPr>
    </w:lvl>
    <w:lvl w:ilvl="8" w:tplc="FFFFFFFF">
      <w:start w:val="1"/>
      <w:numFmt w:val="lowerRoman"/>
      <w:lvlText w:val="%9."/>
      <w:lvlJc w:val="right"/>
      <w:pPr>
        <w:ind w:left="7200" w:hanging="180"/>
      </w:pPr>
    </w:lvl>
  </w:abstractNum>
  <w:abstractNum w:abstractNumId="19">
    <w:nsid w:val="638652BC"/>
    <w:multiLevelType w:val="hybridMultilevel"/>
    <w:tmpl w:val="7D7A2946"/>
    <w:lvl w:ilvl="0" w:tplc="0C090001">
      <w:start w:val="1"/>
      <w:numFmt w:val="bullet"/>
      <w:lvlText w:val=""/>
      <w:lvlJc w:val="left"/>
      <w:pPr>
        <w:tabs>
          <w:tab w:val="num" w:pos="360"/>
        </w:tabs>
        <w:ind w:left="360" w:hanging="360"/>
      </w:pPr>
      <w:rPr>
        <w:rFonts w:ascii="Symbol" w:hAnsi="Symbol" w:hint="default"/>
      </w:rPr>
    </w:lvl>
    <w:lvl w:ilvl="1" w:tplc="0C090003" w:tentative="1">
      <w:start w:val="1"/>
      <w:numFmt w:val="bullet"/>
      <w:lvlText w:val="o"/>
      <w:lvlJc w:val="left"/>
      <w:pPr>
        <w:tabs>
          <w:tab w:val="num" w:pos="1080"/>
        </w:tabs>
        <w:ind w:left="1080" w:hanging="360"/>
      </w:pPr>
      <w:rPr>
        <w:rFonts w:ascii="Courier New" w:hAnsi="Courier New" w:cs="Courier New" w:hint="default"/>
      </w:rPr>
    </w:lvl>
    <w:lvl w:ilvl="2" w:tplc="0C090005" w:tentative="1">
      <w:start w:val="1"/>
      <w:numFmt w:val="bullet"/>
      <w:lvlText w:val=""/>
      <w:lvlJc w:val="left"/>
      <w:pPr>
        <w:tabs>
          <w:tab w:val="num" w:pos="1800"/>
        </w:tabs>
        <w:ind w:left="1800" w:hanging="360"/>
      </w:pPr>
      <w:rPr>
        <w:rFonts w:ascii="Wingdings" w:hAnsi="Wingdings" w:hint="default"/>
      </w:rPr>
    </w:lvl>
    <w:lvl w:ilvl="3" w:tplc="0C090001" w:tentative="1">
      <w:start w:val="1"/>
      <w:numFmt w:val="bullet"/>
      <w:lvlText w:val=""/>
      <w:lvlJc w:val="left"/>
      <w:pPr>
        <w:tabs>
          <w:tab w:val="num" w:pos="2520"/>
        </w:tabs>
        <w:ind w:left="2520" w:hanging="360"/>
      </w:pPr>
      <w:rPr>
        <w:rFonts w:ascii="Symbol" w:hAnsi="Symbol" w:hint="default"/>
      </w:rPr>
    </w:lvl>
    <w:lvl w:ilvl="4" w:tplc="0C090003" w:tentative="1">
      <w:start w:val="1"/>
      <w:numFmt w:val="bullet"/>
      <w:lvlText w:val="o"/>
      <w:lvlJc w:val="left"/>
      <w:pPr>
        <w:tabs>
          <w:tab w:val="num" w:pos="3240"/>
        </w:tabs>
        <w:ind w:left="3240" w:hanging="360"/>
      </w:pPr>
      <w:rPr>
        <w:rFonts w:ascii="Courier New" w:hAnsi="Courier New" w:cs="Courier New" w:hint="default"/>
      </w:rPr>
    </w:lvl>
    <w:lvl w:ilvl="5" w:tplc="0C090005" w:tentative="1">
      <w:start w:val="1"/>
      <w:numFmt w:val="bullet"/>
      <w:lvlText w:val=""/>
      <w:lvlJc w:val="left"/>
      <w:pPr>
        <w:tabs>
          <w:tab w:val="num" w:pos="3960"/>
        </w:tabs>
        <w:ind w:left="3960" w:hanging="360"/>
      </w:pPr>
      <w:rPr>
        <w:rFonts w:ascii="Wingdings" w:hAnsi="Wingdings" w:hint="default"/>
      </w:rPr>
    </w:lvl>
    <w:lvl w:ilvl="6" w:tplc="0C090001" w:tentative="1">
      <w:start w:val="1"/>
      <w:numFmt w:val="bullet"/>
      <w:lvlText w:val=""/>
      <w:lvlJc w:val="left"/>
      <w:pPr>
        <w:tabs>
          <w:tab w:val="num" w:pos="4680"/>
        </w:tabs>
        <w:ind w:left="4680" w:hanging="360"/>
      </w:pPr>
      <w:rPr>
        <w:rFonts w:ascii="Symbol" w:hAnsi="Symbol" w:hint="default"/>
      </w:rPr>
    </w:lvl>
    <w:lvl w:ilvl="7" w:tplc="0C090003" w:tentative="1">
      <w:start w:val="1"/>
      <w:numFmt w:val="bullet"/>
      <w:lvlText w:val="o"/>
      <w:lvlJc w:val="left"/>
      <w:pPr>
        <w:tabs>
          <w:tab w:val="num" w:pos="5400"/>
        </w:tabs>
        <w:ind w:left="5400" w:hanging="360"/>
      </w:pPr>
      <w:rPr>
        <w:rFonts w:ascii="Courier New" w:hAnsi="Courier New" w:cs="Courier New" w:hint="default"/>
      </w:rPr>
    </w:lvl>
    <w:lvl w:ilvl="8" w:tplc="0C090005" w:tentative="1">
      <w:start w:val="1"/>
      <w:numFmt w:val="bullet"/>
      <w:lvlText w:val=""/>
      <w:lvlJc w:val="left"/>
      <w:pPr>
        <w:tabs>
          <w:tab w:val="num" w:pos="6120"/>
        </w:tabs>
        <w:ind w:left="6120" w:hanging="360"/>
      </w:pPr>
      <w:rPr>
        <w:rFonts w:ascii="Wingdings" w:hAnsi="Wingdings" w:hint="default"/>
      </w:rPr>
    </w:lvl>
  </w:abstractNum>
  <w:abstractNum w:abstractNumId="20">
    <w:nsid w:val="656D4D30"/>
    <w:multiLevelType w:val="hybridMultilevel"/>
    <w:tmpl w:val="D314530C"/>
    <w:lvl w:ilvl="0" w:tplc="FFFFFFFF">
      <w:start w:val="1"/>
      <w:numFmt w:val="lowerLetter"/>
      <w:lvlText w:val="(%1)"/>
      <w:lvlJc w:val="left"/>
      <w:pPr>
        <w:tabs>
          <w:tab w:val="num" w:pos="2160"/>
        </w:tabs>
        <w:ind w:left="2160" w:hanging="720"/>
      </w:pPr>
    </w:lvl>
    <w:lvl w:ilvl="1" w:tplc="FFFFFFFF">
      <w:start w:val="1"/>
      <w:numFmt w:val="lowerLetter"/>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1">
    <w:nsid w:val="6D7864F7"/>
    <w:multiLevelType w:val="hybridMultilevel"/>
    <w:tmpl w:val="4DD8D500"/>
    <w:lvl w:ilvl="0">
      <w:numFmt w:val="bullet"/>
      <w:pStyle w:val="Quote3"/>
      <w:lvlText w:val=""/>
      <w:lvlJc w:val="left"/>
      <w:pPr>
        <w:tabs>
          <w:tab w:val="num" w:pos="1701"/>
        </w:tabs>
        <w:ind w:left="1701" w:hanging="567"/>
      </w:pPr>
      <w:rPr>
        <w:rFonts w:ascii="Symbol" w:eastAsia="Times New Roman" w:hAnsi="Symbol" w:cs="Times New Roman" w:hint="default"/>
        <w:sz w:val="16"/>
      </w:rPr>
    </w:lvl>
    <w:lvl w:ilvl="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4"/>
  </w:num>
  <w:num w:numId="3">
    <w:abstractNumId w:val="10"/>
  </w:num>
  <w:num w:numId="4">
    <w:abstractNumId w:val="21"/>
  </w:num>
  <w:num w:numId="5">
    <w:abstractNumId w:val="1"/>
  </w:num>
  <w:num w:numId="6">
    <w:abstractNumId w:val="12"/>
  </w:num>
  <w:num w:numId="7">
    <w:abstractNumId w:val="19"/>
  </w:num>
  <w:num w:numId="8">
    <w:abstractNumId w:val="2"/>
    <w:lvlOverride w:ilvl="0">
      <w:startOverride w:val="1"/>
    </w:lvlOverride>
  </w:num>
  <w:num w:numId="9">
    <w:abstractNumId w:val="12"/>
  </w:num>
  <w:num w:numId="10">
    <w:abstractNumId w:val="0"/>
  </w:num>
  <w:num w:numId="1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8"/>
  </w:num>
  <w:num w:numId="13">
    <w:abstractNumId w:val="2"/>
  </w:num>
  <w:num w:numId="1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1"/>
  </w:num>
  <w:num w:numId="16">
    <w:abstractNumId w:val="15"/>
  </w:num>
  <w:num w:numId="17">
    <w:abstractNumId w:val="0"/>
    <w:lvlOverride w:ilvl="0">
      <w:startOverride w:val="1"/>
    </w:lvlOverride>
  </w:num>
  <w:num w:numId="1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6"/>
  </w:num>
  <w:num w:numId="2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4"/>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0"/>
    <w:lvlOverride w:ilvl="0">
      <w:startOverride w:val="1"/>
    </w:lvlOverride>
  </w:num>
  <w:num w:numId="29">
    <w:abstractNumId w:val="9"/>
    <w:lvlOverride w:ilvl="0">
      <w:startOverride w:val="1"/>
    </w:lvlOverride>
  </w:num>
  <w:num w:numId="30">
    <w:abstractNumId w:val="9"/>
    <w:lvlOverride w:ilvl="0">
      <w:startOverride w:val="2"/>
    </w:lvlOverride>
  </w:num>
  <w:num w:numId="31">
    <w:abstractNumId w:val="9"/>
    <w:lvlOverride w:ilvl="0">
      <w:startOverride w:val="3"/>
    </w:lvlOverride>
  </w:num>
  <w:num w:numId="32">
    <w:abstractNumId w:val="9"/>
    <w:lvlOverride w:ilvl="0">
      <w:startOverride w:val="4"/>
    </w:lvlOverride>
  </w:num>
  <w:num w:numId="33">
    <w:abstractNumId w:val="9"/>
    <w:lvlOverride w:ilvl="0">
      <w:startOverride w:val="5"/>
    </w:lvlOverride>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oNotTrackMoves/>
  <w:defaultTabStop w:val="284"/>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docVars>
    <w:docVar w:name="dgnword-docGUID" w:val="{FB7EA725-3619-4140-B977-7FDCB227C85D}"/>
    <w:docVar w:name="dgnword-eventsink" w:val="8642720"/>
  </w:docVars>
  <w:rsids>
    <w:rsidRoot w:val="005D13E7"/>
    <w:rsid w:val="0002495B"/>
    <w:rsid w:val="00033C8A"/>
    <w:rsid w:val="001432C0"/>
    <w:rsid w:val="00164DD9"/>
    <w:rsid w:val="00175711"/>
    <w:rsid w:val="001803C0"/>
    <w:rsid w:val="001824CF"/>
    <w:rsid w:val="00200D05"/>
    <w:rsid w:val="002048E0"/>
    <w:rsid w:val="00232FE0"/>
    <w:rsid w:val="00257FDF"/>
    <w:rsid w:val="002614BC"/>
    <w:rsid w:val="00280633"/>
    <w:rsid w:val="002C6AB4"/>
    <w:rsid w:val="00365D1E"/>
    <w:rsid w:val="00387894"/>
    <w:rsid w:val="00387CF8"/>
    <w:rsid w:val="003C275E"/>
    <w:rsid w:val="003E4B19"/>
    <w:rsid w:val="004476E8"/>
    <w:rsid w:val="00450F7D"/>
    <w:rsid w:val="00464213"/>
    <w:rsid w:val="0049764B"/>
    <w:rsid w:val="004B6735"/>
    <w:rsid w:val="004D4098"/>
    <w:rsid w:val="004F199E"/>
    <w:rsid w:val="005038DA"/>
    <w:rsid w:val="0051055D"/>
    <w:rsid w:val="00572C61"/>
    <w:rsid w:val="00572F41"/>
    <w:rsid w:val="005860EE"/>
    <w:rsid w:val="005C5F9A"/>
    <w:rsid w:val="005D13E7"/>
    <w:rsid w:val="006129E2"/>
    <w:rsid w:val="006206D5"/>
    <w:rsid w:val="00624E7C"/>
    <w:rsid w:val="006776A2"/>
    <w:rsid w:val="0068356F"/>
    <w:rsid w:val="00693231"/>
    <w:rsid w:val="006B770E"/>
    <w:rsid w:val="006E0C63"/>
    <w:rsid w:val="006F5D83"/>
    <w:rsid w:val="00737D53"/>
    <w:rsid w:val="00834BBE"/>
    <w:rsid w:val="008716B2"/>
    <w:rsid w:val="0087559E"/>
    <w:rsid w:val="00880263"/>
    <w:rsid w:val="008E564C"/>
    <w:rsid w:val="008E7EB6"/>
    <w:rsid w:val="00965037"/>
    <w:rsid w:val="00976D3C"/>
    <w:rsid w:val="009874F1"/>
    <w:rsid w:val="009A2307"/>
    <w:rsid w:val="009A6E85"/>
    <w:rsid w:val="00AA3BD6"/>
    <w:rsid w:val="00AA60D2"/>
    <w:rsid w:val="00AB2EAE"/>
    <w:rsid w:val="00AD1FDE"/>
    <w:rsid w:val="00AF05C2"/>
    <w:rsid w:val="00AF10C5"/>
    <w:rsid w:val="00B51F99"/>
    <w:rsid w:val="00B64A5B"/>
    <w:rsid w:val="00B7674F"/>
    <w:rsid w:val="00B9239B"/>
    <w:rsid w:val="00BB7BBE"/>
    <w:rsid w:val="00C15038"/>
    <w:rsid w:val="00CB172F"/>
    <w:rsid w:val="00D03680"/>
    <w:rsid w:val="00D42179"/>
    <w:rsid w:val="00D42B62"/>
    <w:rsid w:val="00D74B44"/>
    <w:rsid w:val="00D76CE3"/>
    <w:rsid w:val="00D808C1"/>
    <w:rsid w:val="00E1373C"/>
    <w:rsid w:val="00E4221C"/>
    <w:rsid w:val="00E52A8E"/>
    <w:rsid w:val="00E70743"/>
    <w:rsid w:val="00E74F5D"/>
    <w:rsid w:val="00EE3421"/>
    <w:rsid w:val="00EE5227"/>
    <w:rsid w:val="00F013D9"/>
    <w:rsid w:val="00F35A88"/>
    <w:rsid w:val="00F62379"/>
    <w:rsid w:val="00F7634B"/>
    <w:rsid w:val="00F8181B"/>
    <w:rsid w:val="00FC407F"/>
  </w:rsids>
  <m:mathPr>
    <m:mathFont m:val="Cambria Math"/>
    <m:brkBin m:val="before"/>
    <m:brkBinSub m:val="--"/>
    <m:smallFrac m:val="off"/>
    <m:dispDef/>
    <m:lMargin m:val="0"/>
    <m:rMargin m:val="0"/>
    <m:defJc m:val="centerGroup"/>
    <m:wrapIndent m:val="1440"/>
    <m:intLim m:val="subSup"/>
    <m:naryLim m:val="undOvr"/>
  </m:mathPr>
  <w:uiCompat97To2003/>
  <w:themeFontLang w:val="en-A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address"/>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semiHidden="1" w:uiPriority="60" w:unhideWhenUsed="1"/>
    <w:lsdException w:name="Light List" w:semiHidden="1" w:uiPriority="61" w:unhideWhenUsed="1"/>
    <w:lsdException w:name="Light Grid" w:semiHidden="1" w:uiPriority="62" w:unhideWhenUsed="1"/>
    <w:lsdException w:name="Medium Shading 1" w:semiHidden="1" w:uiPriority="63" w:unhideWhenUsed="1"/>
    <w:lsdException w:name="Medium Shading 2" w:semiHidden="1" w:uiPriority="64" w:unhideWhenUsed="1"/>
    <w:lsdException w:name="Medium List 1" w:semiHidden="1" w:uiPriority="65" w:unhideWhenUsed="1"/>
    <w:lsdException w:name="Medium List 2" w:semiHidden="1" w:uiPriority="66" w:unhideWhenUsed="1"/>
    <w:lsdException w:name="Medium Grid 1" w:semiHidden="1" w:uiPriority="67" w:unhideWhenUsed="1"/>
    <w:lsdException w:name="Medium Grid 2" w:semiHidden="1" w:uiPriority="68" w:unhideWhenUsed="1"/>
    <w:lsdException w:name="Medium Grid 3" w:semiHidden="1" w:uiPriority="69" w:unhideWhenUsed="1"/>
    <w:lsdException w:name="Dark List" w:semiHidden="1" w:uiPriority="70" w:unhideWhenUsed="1"/>
    <w:lsdException w:name="Colorful Shading" w:semiHidden="1" w:uiPriority="71" w:unhideWhenUsed="1"/>
    <w:lsdException w:name="Colorful List" w:semiHidden="1" w:uiPriority="72" w:unhideWhenUsed="1"/>
    <w:lsdException w:name="Colorful Grid" w:semiHidden="1" w:uiPriority="73" w:unhideWhenUsed="1"/>
    <w:lsdException w:name="Light Shading Accent 1" w:semiHidden="1" w:uiPriority="60" w:unhideWhenUsed="1"/>
    <w:lsdException w:name="Light List Accent 1" w:semiHidden="1" w:uiPriority="61" w:unhideWhenUsed="1"/>
    <w:lsdException w:name="Light Grid Accent 1" w:semiHidden="1" w:uiPriority="62" w:unhideWhenUsed="1"/>
    <w:lsdException w:name="Medium Shading 1 Accent 1" w:semiHidden="1" w:uiPriority="63" w:unhideWhenUsed="1"/>
    <w:lsdException w:name="Medium Shading 2 Accent 1" w:semiHidden="1" w:uiPriority="64" w:unhideWhenUsed="1"/>
    <w:lsdException w:name="Medium List 1 Accent 1" w:semiHidden="1" w:uiPriority="65" w:unhideWhenUsed="1"/>
    <w:lsdException w:name="Revision" w:semiHidden="1" w:uiPriority="99"/>
    <w:lsdException w:name="List Paragraph" w:uiPriority="34" w:qFormat="1"/>
    <w:lsdException w:name="Quote" w:uiPriority="29" w:qFormat="1"/>
    <w:lsdException w:name="Intense Quote" w:uiPriority="30" w:qFormat="1"/>
    <w:lsdException w:name="Medium List 2 Accent 1" w:semiHidden="1" w:uiPriority="66" w:unhideWhenUsed="1"/>
    <w:lsdException w:name="Medium Grid 1 Accent 1" w:semiHidden="1" w:uiPriority="67" w:unhideWhenUsed="1"/>
    <w:lsdException w:name="Medium Grid 2 Accent 1" w:semiHidden="1" w:uiPriority="68" w:unhideWhenUsed="1"/>
    <w:lsdException w:name="Medium Grid 3 Accent 1" w:semiHidden="1" w:uiPriority="69" w:unhideWhenUsed="1"/>
    <w:lsdException w:name="Dark List Accent 1" w:semiHidden="1" w:uiPriority="70" w:unhideWhenUsed="1"/>
    <w:lsdException w:name="Colorful Shading Accent 1" w:semiHidden="1" w:uiPriority="71" w:unhideWhenUsed="1"/>
    <w:lsdException w:name="Colorful List Accent 1" w:semiHidden="1" w:uiPriority="72" w:unhideWhenUsed="1"/>
    <w:lsdException w:name="Colorful Grid Accent 1" w:semiHidden="1" w:uiPriority="73" w:unhideWhenUsed="1"/>
    <w:lsdException w:name="Light Shading Accent 2" w:semiHidden="1" w:uiPriority="60" w:unhideWhenUsed="1"/>
    <w:lsdException w:name="Light List Accent 2" w:semiHidden="1" w:uiPriority="61" w:unhideWhenUsed="1"/>
    <w:lsdException w:name="Light Grid Accent 2" w:semiHidden="1" w:uiPriority="62" w:unhideWhenUsed="1"/>
    <w:lsdException w:name="Medium Shading 1 Accent 2" w:semiHidden="1" w:uiPriority="63" w:unhideWhenUsed="1"/>
    <w:lsdException w:name="Medium Shading 2 Accent 2" w:semiHidden="1" w:uiPriority="64" w:unhideWhenUsed="1"/>
    <w:lsdException w:name="Medium List 1 Accent 2" w:semiHidden="1" w:uiPriority="65" w:unhideWhenUsed="1"/>
    <w:lsdException w:name="Medium List 2 Accent 2" w:semiHidden="1" w:uiPriority="66" w:unhideWhenUsed="1"/>
    <w:lsdException w:name="Medium Grid 1 Accent 2" w:semiHidden="1" w:uiPriority="67" w:unhideWhenUsed="1"/>
    <w:lsdException w:name="Medium Grid 2 Accent 2" w:semiHidden="1" w:uiPriority="68" w:unhideWhenUsed="1"/>
    <w:lsdException w:name="Medium Grid 3 Accent 2" w:semiHidden="1" w:uiPriority="69" w:unhideWhenUsed="1"/>
    <w:lsdException w:name="Dark List Accent 2" w:semiHidden="1" w:uiPriority="70" w:unhideWhenUsed="1"/>
    <w:lsdException w:name="Colorful Shading Accent 2" w:semiHidden="1" w:uiPriority="71" w:unhideWhenUsed="1"/>
    <w:lsdException w:name="Colorful List Accent 2" w:semiHidden="1" w:uiPriority="72" w:unhideWhenUsed="1"/>
    <w:lsdException w:name="Colorful Grid Accent 2" w:semiHidden="1" w:uiPriority="73" w:unhideWhenUsed="1"/>
    <w:lsdException w:name="Light Shading Accent 3" w:semiHidden="1" w:uiPriority="60" w:unhideWhenUsed="1"/>
    <w:lsdException w:name="Light List Accent 3" w:semiHidden="1" w:uiPriority="61" w:unhideWhenUsed="1"/>
    <w:lsdException w:name="Light Grid Accent 3" w:semiHidden="1" w:uiPriority="62" w:unhideWhenUsed="1"/>
    <w:lsdException w:name="Medium Shading 1 Accent 3" w:semiHidden="1" w:uiPriority="63" w:unhideWhenUsed="1"/>
    <w:lsdException w:name="Medium Shading 2 Accent 3" w:semiHidden="1" w:uiPriority="64" w:unhideWhenUsed="1"/>
    <w:lsdException w:name="Medium List 1 Accent 3" w:semiHidden="1" w:uiPriority="65" w:unhideWhenUsed="1"/>
    <w:lsdException w:name="Medium List 2 Accent 3" w:semiHidden="1" w:uiPriority="66" w:unhideWhenUsed="1"/>
    <w:lsdException w:name="Medium Grid 1 Accent 3" w:semiHidden="1" w:uiPriority="67" w:unhideWhenUsed="1"/>
    <w:lsdException w:name="Medium Grid 2 Accent 3" w:semiHidden="1" w:uiPriority="68" w:unhideWhenUsed="1"/>
    <w:lsdException w:name="Medium Grid 3 Accent 3" w:semiHidden="1" w:uiPriority="69" w:unhideWhenUsed="1"/>
    <w:lsdException w:name="Dark List Accent 3" w:semiHidden="1" w:uiPriority="70" w:unhideWhenUsed="1"/>
    <w:lsdException w:name="Colorful Shading Accent 3" w:semiHidden="1" w:uiPriority="71" w:unhideWhenUsed="1"/>
    <w:lsdException w:name="Colorful List Accent 3" w:semiHidden="1" w:uiPriority="72" w:unhideWhenUsed="1"/>
    <w:lsdException w:name="Colorful Grid Accent 3" w:semiHidden="1" w:uiPriority="73" w:unhideWhenUsed="1"/>
    <w:lsdException w:name="Light Shading Accent 4" w:semiHidden="1" w:uiPriority="60" w:unhideWhenUsed="1"/>
    <w:lsdException w:name="Light List Accent 4" w:semiHidden="1" w:uiPriority="61" w:unhideWhenUsed="1"/>
    <w:lsdException w:name="Light Grid Accent 4" w:semiHidden="1" w:uiPriority="62" w:unhideWhenUsed="1"/>
    <w:lsdException w:name="Medium Shading 1 Accent 4" w:semiHidden="1" w:uiPriority="63" w:unhideWhenUsed="1"/>
    <w:lsdException w:name="Medium Shading 2 Accent 4" w:semiHidden="1" w:uiPriority="64" w:unhideWhenUsed="1"/>
    <w:lsdException w:name="Medium List 1 Accent 4" w:semiHidden="1" w:uiPriority="65" w:unhideWhenUsed="1"/>
    <w:lsdException w:name="Medium List 2 Accent 4" w:semiHidden="1" w:uiPriority="66" w:unhideWhenUsed="1"/>
    <w:lsdException w:name="Medium Grid 1 Accent 4" w:semiHidden="1" w:uiPriority="67" w:unhideWhenUsed="1"/>
    <w:lsdException w:name="Medium Grid 2 Accent 4" w:semiHidden="1" w:uiPriority="68" w:unhideWhenUsed="1"/>
    <w:lsdException w:name="Medium Grid 3 Accent 4" w:semiHidden="1" w:uiPriority="69" w:unhideWhenUsed="1"/>
    <w:lsdException w:name="Dark List Accent 4" w:semiHidden="1" w:uiPriority="70" w:unhideWhenUsed="1"/>
    <w:lsdException w:name="Colorful Shading Accent 4" w:semiHidden="1" w:uiPriority="71" w:unhideWhenUsed="1"/>
    <w:lsdException w:name="Colorful List Accent 4" w:semiHidden="1" w:uiPriority="72" w:unhideWhenUsed="1"/>
    <w:lsdException w:name="Colorful Grid Accent 4" w:semiHidden="1" w:uiPriority="73" w:unhideWhenUsed="1"/>
    <w:lsdException w:name="Light Shading Accent 5" w:semiHidden="1" w:uiPriority="60" w:unhideWhenUsed="1"/>
    <w:lsdException w:name="Light List Accent 5" w:semiHidden="1" w:uiPriority="61" w:unhideWhenUsed="1"/>
    <w:lsdException w:name="Light Grid Accent 5" w:semiHidden="1" w:uiPriority="62" w:unhideWhenUsed="1"/>
    <w:lsdException w:name="Medium Shading 1 Accent 5" w:semiHidden="1" w:uiPriority="63" w:unhideWhenUsed="1"/>
    <w:lsdException w:name="Medium Shading 2 Accent 5" w:semiHidden="1" w:uiPriority="64" w:unhideWhenUsed="1"/>
    <w:lsdException w:name="Medium List 1 Accent 5" w:semiHidden="1" w:uiPriority="65" w:unhideWhenUsed="1"/>
    <w:lsdException w:name="Medium List 2 Accent 5" w:semiHidden="1" w:uiPriority="66" w:unhideWhenUsed="1"/>
    <w:lsdException w:name="Medium Grid 1 Accent 5" w:semiHidden="1" w:uiPriority="67" w:unhideWhenUsed="1"/>
    <w:lsdException w:name="Medium Grid 2 Accent 5" w:semiHidden="1" w:uiPriority="68" w:unhideWhenUsed="1"/>
    <w:lsdException w:name="Medium Grid 3 Accent 5" w:semiHidden="1" w:uiPriority="69" w:unhideWhenUsed="1"/>
    <w:lsdException w:name="Dark List Accent 5" w:semiHidden="1" w:uiPriority="70" w:unhideWhenUsed="1"/>
    <w:lsdException w:name="Colorful Shading Accent 5" w:semiHidden="1" w:uiPriority="71" w:unhideWhenUsed="1"/>
    <w:lsdException w:name="Colorful List Accent 5" w:semiHidden="1" w:uiPriority="72" w:unhideWhenUsed="1"/>
    <w:lsdException w:name="Colorful Grid Accent 5" w:semiHidden="1" w:uiPriority="73" w:unhideWhenUsed="1"/>
    <w:lsdException w:name="Light Shading Accent 6" w:semiHidden="1" w:uiPriority="60" w:unhideWhenUsed="1"/>
    <w:lsdException w:name="Light List Accent 6" w:semiHidden="1" w:uiPriority="61" w:unhideWhenUsed="1"/>
    <w:lsdException w:name="Light Grid Accent 6" w:semiHidden="1" w:uiPriority="62" w:unhideWhenUsed="1"/>
    <w:lsdException w:name="Medium Shading 1 Accent 6" w:semiHidden="1" w:uiPriority="63" w:unhideWhenUsed="1"/>
    <w:lsdException w:name="Medium Shading 2 Accent 6" w:semiHidden="1" w:uiPriority="64" w:unhideWhenUsed="1"/>
    <w:lsdException w:name="Medium List 1 Accent 6" w:semiHidden="1" w:uiPriority="65" w:unhideWhenUsed="1"/>
    <w:lsdException w:name="Medium List 2 Accent 6" w:semiHidden="1" w:uiPriority="66" w:unhideWhenUsed="1"/>
    <w:lsdException w:name="Medium Grid 1 Accent 6" w:semiHidden="1" w:uiPriority="67" w:unhideWhenUsed="1"/>
    <w:lsdException w:name="Medium Grid 2 Accent 6" w:semiHidden="1" w:uiPriority="68" w:unhideWhenUsed="1"/>
    <w:lsdException w:name="Medium Grid 3 Accent 6" w:semiHidden="1" w:uiPriority="69" w:unhideWhenUsed="1"/>
    <w:lsdException w:name="Dark List Accent 6" w:semiHidden="1" w:uiPriority="70" w:unhideWhenUsed="1"/>
    <w:lsdException w:name="Colorful Shading Accent 6" w:semiHidden="1" w:uiPriority="71" w:unhideWhenUsed="1"/>
    <w:lsdException w:name="Colorful List Accent 6" w:semiHidden="1" w:uiPriority="72" w:unhideWhenUsed="1"/>
    <w:lsdException w:name="Colorful Grid Accent 6" w:semiHidden="1" w:uiPriority="73"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6"/>
      <w:szCs w:val="26"/>
      <w:lang w:eastAsia="en-US"/>
    </w:rPr>
  </w:style>
  <w:style w:type="paragraph" w:styleId="Heading1">
    <w:name w:val="heading 1"/>
    <w:basedOn w:val="Normal"/>
    <w:next w:val="Para1"/>
    <w:link w:val="Heading1Char"/>
    <w:qFormat/>
    <w:pPr>
      <w:keepNext/>
      <w:spacing w:before="240" w:after="120"/>
      <w:jc w:val="center"/>
      <w:outlineLvl w:val="0"/>
    </w:pPr>
    <w:rPr>
      <w:rFonts w:ascii="Arial" w:hAnsi="Arial"/>
      <w:b/>
      <w:bCs/>
      <w:caps/>
      <w:sz w:val="24"/>
      <w:szCs w:val="24"/>
    </w:rPr>
  </w:style>
  <w:style w:type="paragraph" w:styleId="Heading2">
    <w:name w:val="heading 2"/>
    <w:basedOn w:val="Heading1"/>
    <w:next w:val="Para1"/>
    <w:link w:val="Heading2Char"/>
    <w:qFormat/>
    <w:pPr>
      <w:jc w:val="left"/>
      <w:outlineLvl w:val="1"/>
    </w:pPr>
    <w:rPr>
      <w:iCs/>
    </w:rPr>
  </w:style>
  <w:style w:type="paragraph" w:styleId="Heading3">
    <w:name w:val="heading 3"/>
    <w:basedOn w:val="Heading2"/>
    <w:next w:val="Order2"/>
    <w:qFormat/>
    <w:pPr>
      <w:outlineLvl w:val="2"/>
    </w:pPr>
    <w:rPr>
      <w:bCs w:val="0"/>
      <w:caps w:val="0"/>
    </w:rPr>
  </w:style>
  <w:style w:type="paragraph" w:styleId="Heading4">
    <w:name w:val="heading 4"/>
    <w:basedOn w:val="Heading3"/>
    <w:next w:val="Normal"/>
    <w:qFormat/>
    <w:pPr>
      <w:outlineLvl w:val="3"/>
    </w:pPr>
    <w:rPr>
      <w:b w:val="0"/>
      <w:bCs/>
      <w:szCs w:val="28"/>
      <w:u w:val="single"/>
    </w:rPr>
  </w:style>
  <w:style w:type="paragraph" w:styleId="Heading5">
    <w:name w:val="heading 5"/>
    <w:basedOn w:val="Heading4"/>
    <w:next w:val="Para1"/>
    <w:qFormat/>
    <w:pPr>
      <w:spacing w:after="60"/>
      <w:outlineLvl w:val="4"/>
    </w:pPr>
    <w:rPr>
      <w:bCs w:val="0"/>
      <w:iCs w:val="0"/>
      <w:u w:val="none"/>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Footer">
    <w:name w:val="footer"/>
    <w:basedOn w:val="Normal"/>
    <w:pPr>
      <w:tabs>
        <w:tab w:val="center" w:pos="4896"/>
        <w:tab w:val="right" w:pos="9792"/>
      </w:tabs>
      <w:spacing w:before="60"/>
    </w:pPr>
    <w:rPr>
      <w:rFonts w:ascii="Arial" w:hAnsi="Arial"/>
      <w:sz w:val="20"/>
      <w:szCs w:val="20"/>
    </w:rPr>
  </w:style>
  <w:style w:type="character" w:styleId="PageNumber">
    <w:name w:val="page number"/>
    <w:basedOn w:val="DefaultParagraphFont"/>
  </w:style>
  <w:style w:type="paragraph" w:customStyle="1" w:styleId="Para1">
    <w:name w:val="Para 1"/>
    <w:basedOn w:val="Normal"/>
    <w:link w:val="Para1CharChar"/>
    <w:pPr>
      <w:numPr>
        <w:numId w:val="10"/>
      </w:numPr>
      <w:spacing w:after="120" w:line="300" w:lineRule="atLeast"/>
    </w:pPr>
  </w:style>
  <w:style w:type="paragraph" w:customStyle="1" w:styleId="Para2">
    <w:name w:val="Para 2"/>
    <w:basedOn w:val="Para1"/>
    <w:pPr>
      <w:numPr>
        <w:numId w:val="0"/>
      </w:numPr>
      <w:ind w:left="567"/>
    </w:pPr>
  </w:style>
  <w:style w:type="paragraph" w:customStyle="1" w:styleId="Catchwords">
    <w:name w:val="Catchwords"/>
    <w:basedOn w:val="Normal"/>
    <w:pPr>
      <w:spacing w:before="100" w:after="100"/>
      <w:jc w:val="both"/>
    </w:pPr>
    <w:rPr>
      <w:sz w:val="20"/>
    </w:rPr>
  </w:style>
  <w:style w:type="paragraph" w:customStyle="1" w:styleId="Quote1">
    <w:name w:val="Quote 1"/>
    <w:basedOn w:val="Normal"/>
    <w:link w:val="Quote1Char"/>
    <w:pPr>
      <w:spacing w:after="120"/>
      <w:ind w:left="1134" w:right="567"/>
    </w:pPr>
    <w:rPr>
      <w:sz w:val="24"/>
      <w:szCs w:val="24"/>
    </w:rPr>
  </w:style>
  <w:style w:type="paragraph" w:customStyle="1" w:styleId="Quote2">
    <w:name w:val="Quote 2"/>
    <w:basedOn w:val="Quote1"/>
    <w:link w:val="Quote2Char"/>
    <w:pPr>
      <w:ind w:left="1701" w:hanging="567"/>
    </w:pPr>
  </w:style>
  <w:style w:type="paragraph" w:customStyle="1" w:styleId="Para5">
    <w:name w:val="Para 5"/>
    <w:basedOn w:val="Para2"/>
    <w:pPr>
      <w:numPr>
        <w:numId w:val="3"/>
      </w:numPr>
    </w:pPr>
  </w:style>
  <w:style w:type="paragraph" w:customStyle="1" w:styleId="Para4">
    <w:name w:val="Para 4"/>
    <w:basedOn w:val="Para2"/>
    <w:pPr>
      <w:numPr>
        <w:numId w:val="1"/>
      </w:numPr>
    </w:pPr>
  </w:style>
  <w:style w:type="paragraph" w:customStyle="1" w:styleId="TitlePage1">
    <w:name w:val="Title Page 1"/>
    <w:basedOn w:val="Normal"/>
    <w:next w:val="Normal"/>
    <w:pPr>
      <w:spacing w:after="240"/>
    </w:pPr>
    <w:rPr>
      <w:rFonts w:ascii="Arial" w:hAnsi="Arial"/>
      <w:b/>
      <w:caps/>
      <w:sz w:val="24"/>
      <w:szCs w:val="24"/>
    </w:rPr>
  </w:style>
  <w:style w:type="paragraph" w:customStyle="1" w:styleId="TitlePage2">
    <w:name w:val="Title Page 2"/>
    <w:basedOn w:val="TitlePage1"/>
    <w:next w:val="Normal"/>
    <w:pPr>
      <w:spacing w:before="120" w:after="80"/>
    </w:pPr>
  </w:style>
  <w:style w:type="paragraph" w:customStyle="1" w:styleId="TitlePagetext">
    <w:name w:val="Title Page text"/>
    <w:basedOn w:val="Normal"/>
    <w:pPr>
      <w:spacing w:before="80" w:after="100"/>
    </w:pPr>
  </w:style>
  <w:style w:type="paragraph" w:styleId="Header">
    <w:name w:val="header"/>
    <w:basedOn w:val="Normal"/>
    <w:pPr>
      <w:tabs>
        <w:tab w:val="center" w:pos="4320"/>
        <w:tab w:val="right" w:pos="8640"/>
      </w:tabs>
    </w:pPr>
  </w:style>
  <w:style w:type="paragraph" w:customStyle="1" w:styleId="NumberedOrder">
    <w:name w:val="Numbered Order"/>
    <w:basedOn w:val="Normal"/>
    <w:pPr>
      <w:spacing w:after="120" w:line="300" w:lineRule="atLeast"/>
    </w:pPr>
  </w:style>
  <w:style w:type="paragraph" w:styleId="FootnoteText">
    <w:name w:val="footnote text"/>
    <w:basedOn w:val="Normal"/>
    <w:link w:val="FootnoteTextChar"/>
    <w:semiHidden/>
    <w:rPr>
      <w:sz w:val="20"/>
      <w:szCs w:val="20"/>
      <w:lang/>
    </w:rPr>
  </w:style>
  <w:style w:type="character" w:styleId="FootnoteReference">
    <w:name w:val="footnote reference"/>
    <w:semiHidden/>
    <w:rPr>
      <w:vertAlign w:val="superscript"/>
    </w:rPr>
  </w:style>
  <w:style w:type="paragraph" w:customStyle="1" w:styleId="Order1">
    <w:name w:val="Order 1"/>
    <w:basedOn w:val="Normal"/>
    <w:pPr>
      <w:spacing w:after="120"/>
    </w:pPr>
  </w:style>
  <w:style w:type="paragraph" w:customStyle="1" w:styleId="Order2">
    <w:name w:val="Order 2"/>
    <w:basedOn w:val="Order1"/>
    <w:pPr>
      <w:numPr>
        <w:numId w:val="9"/>
      </w:numPr>
      <w:spacing w:line="300" w:lineRule="atLeast"/>
    </w:pPr>
  </w:style>
  <w:style w:type="paragraph" w:customStyle="1" w:styleId="StyleTitlePagetextRight">
    <w:name w:val="Style Title Page text + Right"/>
    <w:basedOn w:val="TitlePagetext"/>
    <w:pPr>
      <w:jc w:val="right"/>
    </w:pPr>
    <w:rPr>
      <w:szCs w:val="20"/>
    </w:rPr>
  </w:style>
  <w:style w:type="paragraph" w:customStyle="1" w:styleId="Para3">
    <w:name w:val="Para 3"/>
    <w:basedOn w:val="Para2"/>
    <w:pPr>
      <w:numPr>
        <w:numId w:val="2"/>
      </w:numPr>
    </w:pPr>
  </w:style>
  <w:style w:type="paragraph" w:customStyle="1" w:styleId="OmniPage1">
    <w:name w:val="OmniPage #1"/>
    <w:basedOn w:val="Normal"/>
    <w:pPr>
      <w:spacing w:line="240" w:lineRule="exact"/>
    </w:pPr>
    <w:rPr>
      <w:sz w:val="20"/>
      <w:szCs w:val="20"/>
      <w:lang w:val="en-US"/>
    </w:rPr>
  </w:style>
  <w:style w:type="paragraph" w:customStyle="1" w:styleId="Quote3">
    <w:name w:val="Quote 3"/>
    <w:basedOn w:val="Quote2"/>
    <w:link w:val="Quote3Char"/>
    <w:pPr>
      <w:numPr>
        <w:numId w:val="4"/>
      </w:numPr>
    </w:pPr>
  </w:style>
  <w:style w:type="paragraph" w:customStyle="1" w:styleId="TitlePage3">
    <w:name w:val="Title Page 3"/>
    <w:basedOn w:val="TitlePage2"/>
    <w:pPr>
      <w:spacing w:before="20" w:after="0"/>
      <w:jc w:val="right"/>
    </w:pPr>
    <w:rPr>
      <w:b w:val="0"/>
      <w:sz w:val="16"/>
    </w:rPr>
  </w:style>
  <w:style w:type="paragraph" w:customStyle="1" w:styleId="OmniPage2">
    <w:name w:val="OmniPage #2"/>
    <w:basedOn w:val="Normal"/>
    <w:pPr>
      <w:spacing w:line="260" w:lineRule="exact"/>
    </w:pPr>
    <w:rPr>
      <w:sz w:val="20"/>
      <w:szCs w:val="20"/>
      <w:lang w:val="en-US"/>
    </w:rPr>
  </w:style>
  <w:style w:type="paragraph" w:styleId="List">
    <w:name w:val="List"/>
    <w:basedOn w:val="Normal"/>
    <w:pPr>
      <w:numPr>
        <w:numId w:val="5"/>
      </w:numPr>
      <w:tabs>
        <w:tab w:val="left" w:pos="567"/>
      </w:tabs>
      <w:spacing w:before="120" w:after="120"/>
    </w:pPr>
    <w:rPr>
      <w:rFonts w:ascii="Arial" w:hAnsi="Arial"/>
      <w:sz w:val="24"/>
      <w:szCs w:val="20"/>
    </w:rPr>
  </w:style>
  <w:style w:type="paragraph" w:customStyle="1" w:styleId="OmniPage3">
    <w:name w:val="OmniPage #3"/>
    <w:basedOn w:val="Normal"/>
    <w:pPr>
      <w:spacing w:line="220" w:lineRule="exact"/>
    </w:pPr>
    <w:rPr>
      <w:sz w:val="20"/>
      <w:lang w:val="en-US"/>
    </w:rPr>
  </w:style>
  <w:style w:type="paragraph" w:styleId="BalloonText">
    <w:name w:val="Balloon Text"/>
    <w:basedOn w:val="Normal"/>
    <w:semiHidden/>
    <w:rPr>
      <w:rFonts w:ascii="Tahoma" w:hAnsi="Tahoma" w:cs="Tahoma"/>
      <w:sz w:val="16"/>
      <w:szCs w:val="16"/>
    </w:rPr>
  </w:style>
  <w:style w:type="paragraph" w:styleId="BodyTextIndent">
    <w:name w:val="Body Text Indent"/>
    <w:basedOn w:val="Normal"/>
    <w:pPr>
      <w:tabs>
        <w:tab w:val="left" w:pos="3119"/>
      </w:tabs>
      <w:ind w:left="3119" w:hanging="3119"/>
      <w:jc w:val="both"/>
    </w:pPr>
    <w:rPr>
      <w:rFonts w:ascii="Arial" w:hAnsi="Arial"/>
      <w:b/>
      <w:sz w:val="20"/>
      <w:szCs w:val="20"/>
    </w:rPr>
  </w:style>
  <w:style w:type="paragraph" w:styleId="BodyTextIndent3">
    <w:name w:val="Body Text Indent 3"/>
    <w:basedOn w:val="Normal"/>
    <w:pPr>
      <w:spacing w:after="120"/>
      <w:ind w:left="283"/>
    </w:pPr>
    <w:rPr>
      <w:sz w:val="16"/>
      <w:szCs w:val="16"/>
    </w:rPr>
  </w:style>
  <w:style w:type="paragraph" w:styleId="BodyTextIndent2">
    <w:name w:val="Body Text Indent 2"/>
    <w:basedOn w:val="Normal"/>
    <w:pPr>
      <w:tabs>
        <w:tab w:val="left" w:pos="1418"/>
      </w:tabs>
      <w:autoSpaceDE w:val="0"/>
      <w:autoSpaceDN w:val="0"/>
      <w:ind w:left="1418" w:hanging="709"/>
    </w:pPr>
    <w:rPr>
      <w:sz w:val="22"/>
      <w:szCs w:val="22"/>
      <w:lang w:val="en-GB"/>
    </w:rPr>
  </w:style>
  <w:style w:type="paragraph" w:customStyle="1" w:styleId="other">
    <w:name w:val="other"/>
    <w:basedOn w:val="Normal"/>
    <w:rPr>
      <w:sz w:val="24"/>
      <w:szCs w:val="20"/>
    </w:rPr>
  </w:style>
  <w:style w:type="paragraph" w:customStyle="1" w:styleId="Para1Char">
    <w:name w:val="Para 1 Char"/>
    <w:basedOn w:val="Normal"/>
    <w:pPr>
      <w:tabs>
        <w:tab w:val="num" w:pos="567"/>
      </w:tabs>
      <w:spacing w:after="120" w:line="300" w:lineRule="atLeast"/>
      <w:ind w:left="567" w:hanging="567"/>
    </w:pPr>
  </w:style>
  <w:style w:type="character" w:customStyle="1" w:styleId="FootnoteTextChar">
    <w:name w:val="Footnote Text Char"/>
    <w:link w:val="FootnoteText"/>
    <w:semiHidden/>
    <w:rPr>
      <w:lang w:val="en-AU"/>
    </w:rPr>
  </w:style>
  <w:style w:type="paragraph" w:styleId="ListParagraph">
    <w:name w:val="List Paragraph"/>
    <w:basedOn w:val="Normal"/>
    <w:uiPriority w:val="34"/>
    <w:qFormat/>
    <w:pPr>
      <w:ind w:left="720"/>
    </w:pPr>
  </w:style>
  <w:style w:type="paragraph" w:customStyle="1" w:styleId="Default">
    <w:name w:val="Default"/>
    <w:pPr>
      <w:autoSpaceDE w:val="0"/>
      <w:autoSpaceDN w:val="0"/>
      <w:adjustRightInd w:val="0"/>
    </w:pPr>
    <w:rPr>
      <w:color w:val="000000"/>
      <w:sz w:val="24"/>
      <w:szCs w:val="24"/>
    </w:rPr>
  </w:style>
  <w:style w:type="paragraph" w:styleId="NormalWeb">
    <w:name w:val="Normal (Web)"/>
    <w:basedOn w:val="Normal"/>
    <w:pPr>
      <w:spacing w:before="100" w:beforeAutospacing="1" w:after="100" w:afterAutospacing="1"/>
    </w:pPr>
    <w:rPr>
      <w:sz w:val="24"/>
      <w:szCs w:val="24"/>
      <w:lang w:eastAsia="en-AU"/>
    </w:rPr>
  </w:style>
  <w:style w:type="character" w:customStyle="1" w:styleId="Para1CharChar">
    <w:name w:val="Para 1 Char Char"/>
    <w:link w:val="Para1"/>
    <w:rPr>
      <w:sz w:val="26"/>
      <w:szCs w:val="26"/>
      <w:lang w:val="en-AU" w:eastAsia="en-US" w:bidi="ar-SA"/>
    </w:rPr>
  </w:style>
  <w:style w:type="character" w:customStyle="1" w:styleId="Quote1Char">
    <w:name w:val="Quote 1 Char"/>
    <w:link w:val="Quote1"/>
    <w:rPr>
      <w:sz w:val="24"/>
      <w:szCs w:val="24"/>
      <w:lang w:val="en-AU" w:eastAsia="en-US" w:bidi="ar-SA"/>
    </w:rPr>
  </w:style>
  <w:style w:type="character" w:customStyle="1" w:styleId="Quote2Char">
    <w:name w:val="Quote 2 Char"/>
    <w:basedOn w:val="Quote1Char"/>
    <w:link w:val="Quote2"/>
  </w:style>
  <w:style w:type="character" w:customStyle="1" w:styleId="Quote3Char">
    <w:name w:val="Quote 3 Char"/>
    <w:basedOn w:val="Quote2Char"/>
    <w:link w:val="Quote3"/>
  </w:style>
  <w:style w:type="table" w:styleId="TableGrid">
    <w:name w:val="Table Grid"/>
    <w:basedOn w:val="TableNormal"/>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link w:val="Heading1"/>
    <w:rPr>
      <w:rFonts w:ascii="Arial" w:hAnsi="Arial"/>
      <w:b/>
      <w:bCs/>
      <w:caps/>
      <w:sz w:val="24"/>
      <w:szCs w:val="24"/>
      <w:lang w:val="en-AU" w:eastAsia="en-US" w:bidi="ar-SA"/>
    </w:rPr>
  </w:style>
  <w:style w:type="character" w:customStyle="1" w:styleId="Heading2Char">
    <w:name w:val="Heading 2 Char"/>
    <w:link w:val="Heading2"/>
    <w:rPr>
      <w:rFonts w:ascii="Arial" w:hAnsi="Arial"/>
      <w:b/>
      <w:bCs/>
      <w:iCs/>
      <w:caps/>
      <w:sz w:val="24"/>
      <w:szCs w:val="24"/>
      <w:lang w:val="en-AU" w:eastAsia="en-US" w:bidi="ar-SA"/>
    </w:rPr>
  </w:style>
  <w:style w:type="paragraph" w:styleId="DocumentMap">
    <w:name w:val="Document Map"/>
    <w:basedOn w:val="Normal"/>
    <w:semiHidden/>
    <w:pPr>
      <w:shd w:val="clear" w:color="auto" w:fill="000080"/>
    </w:pPr>
    <w:rPr>
      <w:rFonts w:ascii="Tahoma" w:hAnsi="Tahoma" w:cs="Tahoma"/>
      <w:sz w:val="20"/>
      <w:szCs w:val="20"/>
    </w:rPr>
  </w:style>
  <w:style w:type="character" w:customStyle="1" w:styleId="Para1Char1">
    <w:name w:val="Para 1 Char1"/>
    <w:rsid w:val="00E1373C"/>
    <w:rPr>
      <w:sz w:val="26"/>
      <w:szCs w:val="26"/>
      <w:lang w:val="en-AU" w:eastAsia="en-US" w:bidi="ar-SA"/>
    </w:rPr>
  </w:style>
  <w:style w:type="paragraph" w:customStyle="1" w:styleId="StyleLeft15cm">
    <w:name w:val="Style Left:  1.5 cm"/>
    <w:basedOn w:val="Normal"/>
    <w:rsid w:val="00387CF8"/>
    <w:pPr>
      <w:ind w:left="851"/>
    </w:pPr>
    <w:rPr>
      <w:rFonts w:ascii="Arial" w:hAnsi="Arial"/>
      <w:sz w:val="22"/>
      <w:szCs w:val="20"/>
      <w:lang w:val="en-US"/>
    </w:rPr>
  </w:style>
</w:styles>
</file>

<file path=word/webSettings.xml><?xml version="1.0" encoding="utf-8"?>
<w:webSettings xmlns:r="http://schemas.openxmlformats.org/officeDocument/2006/relationships" xmlns:w="http://schemas.openxmlformats.org/wordprocessingml/2006/main">
  <w:divs>
    <w:div w:id="311447461">
      <w:bodyDiv w:val="1"/>
      <w:marLeft w:val="0"/>
      <w:marRight w:val="0"/>
      <w:marTop w:val="0"/>
      <w:marBottom w:val="0"/>
      <w:divBdr>
        <w:top w:val="none" w:sz="0" w:space="0" w:color="auto"/>
        <w:left w:val="none" w:sz="0" w:space="0" w:color="auto"/>
        <w:bottom w:val="none" w:sz="0" w:space="0" w:color="auto"/>
        <w:right w:val="none" w:sz="0" w:space="0" w:color="auto"/>
      </w:divBdr>
    </w:div>
    <w:div w:id="462382882">
      <w:bodyDiv w:val="1"/>
      <w:marLeft w:val="0"/>
      <w:marRight w:val="0"/>
      <w:marTop w:val="0"/>
      <w:marBottom w:val="0"/>
      <w:divBdr>
        <w:top w:val="none" w:sz="0" w:space="0" w:color="auto"/>
        <w:left w:val="none" w:sz="0" w:space="0" w:color="auto"/>
        <w:bottom w:val="none" w:sz="0" w:space="0" w:color="auto"/>
        <w:right w:val="none" w:sz="0" w:space="0" w:color="auto"/>
      </w:divBdr>
    </w:div>
    <w:div w:id="986516528">
      <w:bodyDiv w:val="1"/>
      <w:marLeft w:val="0"/>
      <w:marRight w:val="0"/>
      <w:marTop w:val="0"/>
      <w:marBottom w:val="0"/>
      <w:divBdr>
        <w:top w:val="none" w:sz="0" w:space="0" w:color="auto"/>
        <w:left w:val="none" w:sz="0" w:space="0" w:color="auto"/>
        <w:bottom w:val="none" w:sz="0" w:space="0" w:color="auto"/>
        <w:right w:val="none" w:sz="0" w:space="0" w:color="auto"/>
      </w:divBdr>
      <w:divsChild>
        <w:div w:id="1033459669">
          <w:marLeft w:val="0"/>
          <w:marRight w:val="0"/>
          <w:marTop w:val="0"/>
          <w:marBottom w:val="0"/>
          <w:divBdr>
            <w:top w:val="none" w:sz="0" w:space="0" w:color="auto"/>
            <w:left w:val="none" w:sz="0" w:space="0" w:color="auto"/>
            <w:bottom w:val="none" w:sz="0" w:space="0" w:color="auto"/>
            <w:right w:val="none" w:sz="0" w:space="0" w:color="auto"/>
          </w:divBdr>
          <w:divsChild>
            <w:div w:id="1645084950">
              <w:marLeft w:val="0"/>
              <w:marRight w:val="505"/>
              <w:marTop w:val="0"/>
              <w:marBottom w:val="480"/>
              <w:divBdr>
                <w:top w:val="none" w:sz="0" w:space="0" w:color="auto"/>
                <w:left w:val="none" w:sz="0" w:space="0" w:color="auto"/>
                <w:bottom w:val="none" w:sz="0" w:space="0" w:color="auto"/>
                <w:right w:val="none" w:sz="0" w:space="0" w:color="auto"/>
              </w:divBdr>
              <w:divsChild>
                <w:div w:id="1590192528">
                  <w:marLeft w:val="0"/>
                  <w:marRight w:val="0"/>
                  <w:marTop w:val="0"/>
                  <w:marBottom w:val="0"/>
                  <w:divBdr>
                    <w:top w:val="none" w:sz="0" w:space="0" w:color="auto"/>
                    <w:left w:val="none" w:sz="0" w:space="0" w:color="auto"/>
                    <w:bottom w:val="none" w:sz="0" w:space="0" w:color="auto"/>
                    <w:right w:val="none" w:sz="0" w:space="0" w:color="auto"/>
                  </w:divBdr>
                  <w:divsChild>
                    <w:div w:id="446772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86205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59DA1C-220B-474D-96A6-628E587C5F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16</Pages>
  <Words>5432</Words>
  <Characters>30968</Characters>
  <Application>Microsoft Office Word</Application>
  <DocSecurity>0</DocSecurity>
  <Lines>258</Lines>
  <Paragraphs>72</Paragraphs>
  <ScaleCrop>false</ScaleCrop>
  <HeadingPairs>
    <vt:vector size="2" baseType="variant">
      <vt:variant>
        <vt:lpstr>Title</vt:lpstr>
      </vt:variant>
      <vt:variant>
        <vt:i4>1</vt:i4>
      </vt:variant>
    </vt:vector>
  </HeadingPairs>
  <TitlesOfParts>
    <vt:vector size="1" baseType="lpstr">
      <vt:lpstr>VICTORIAN CIVIL AND ADMINISTRATIVE TRIBUNAL</vt:lpstr>
    </vt:vector>
  </TitlesOfParts>
  <Company/>
  <LinksUpToDate>false</LinksUpToDate>
  <CharactersWithSpaces>36328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VICTORIAN CIVIL AND ADMINISTRATIVE TRIBUNAL</dc:title>
  <dc:creator>rnaylor</dc:creator>
  <cp:lastModifiedBy>rosetta</cp:lastModifiedBy>
  <cp:revision>2</cp:revision>
  <cp:lastPrinted>2015-11-10T05:38:00Z</cp:lastPrinted>
  <dcterms:created xsi:type="dcterms:W3CDTF">2015-11-11T04:19:00Z</dcterms:created>
  <dcterms:modified xsi:type="dcterms:W3CDTF">2015-11-11T04:19:00Z</dcterms:modified>
</cp:coreProperties>
</file>